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cs="Calibri" w:hAnsi="Calibri" w:eastAsia="Calibri"/>
          <w:b w:val="1"/>
          <w:bCs w:val="1"/>
          <w:sz w:val="28"/>
          <w:szCs w:val="28"/>
        </w:rPr>
      </w:pPr>
      <w:r>
        <w:rPr>
          <w:rFonts w:ascii="Calibri" w:cs="Calibri" w:hAnsi="Calibri" w:eastAsia="Calibri"/>
          <w:b w:val="1"/>
          <w:bCs w:val="1"/>
          <w:sz w:val="28"/>
          <w:szCs w:val="28"/>
          <w:rtl w:val="0"/>
          <w:lang w:val="en-US"/>
        </w:rPr>
        <w:t>Outstanding Network Sponsor of the Year</w:t>
      </w:r>
    </w:p>
    <w:p>
      <w:pPr>
        <w:pStyle w:val="Normal.0"/>
        <w:rPr>
          <w:rFonts w:ascii="Calibri" w:cs="Calibri" w:hAnsi="Calibri" w:eastAsia="Calibri"/>
        </w:rPr>
      </w:pPr>
      <w:r>
        <w:rPr>
          <w:rFonts w:ascii="Calibri" w:cs="Calibri" w:hAnsi="Calibri" w:eastAsia="Calibri"/>
          <w:rtl w:val="0"/>
          <w:lang w:val="en-US"/>
        </w:rPr>
        <w:t>This award recognizes firms that have provided exceptional support to an ACC network, including assistance with a network</w:t>
      </w:r>
      <w:r>
        <w:rPr>
          <w:rFonts w:ascii="Calibri" w:cs="Calibri" w:hAnsi="Calibri" w:eastAsia="Calibri"/>
          <w:rtl w:val="0"/>
          <w:lang w:val="en-US"/>
        </w:rPr>
        <w:t>’</w:t>
      </w:r>
      <w:r>
        <w:rPr>
          <w:rFonts w:ascii="Calibri" w:cs="Calibri" w:hAnsi="Calibri" w:eastAsia="Calibri"/>
          <w:rtl w:val="0"/>
          <w:lang w:val="en-US"/>
        </w:rPr>
        <w:t>s quality of programs and development, and helping a committee meet its goals.</w:t>
      </w:r>
    </w:p>
    <w:p>
      <w:pPr>
        <w:pStyle w:val="Normal.0"/>
        <w:rPr>
          <w:rFonts w:ascii="Calibri" w:cs="Calibri" w:hAnsi="Calibri" w:eastAsia="Calibri"/>
        </w:rPr>
      </w:pPr>
    </w:p>
    <w:p>
      <w:pPr>
        <w:pStyle w:val="Normal.0"/>
        <w:rPr>
          <w:rFonts w:ascii="Calibri" w:cs="Calibri" w:hAnsi="Calibri" w:eastAsia="Calibri"/>
          <w:b w:val="1"/>
          <w:bCs w:val="1"/>
        </w:rPr>
      </w:pPr>
      <w:r>
        <w:rPr>
          <w:rFonts w:ascii="Calibri" w:cs="Calibri" w:hAnsi="Calibri" w:eastAsia="Calibri"/>
          <w:b w:val="1"/>
          <w:bCs w:val="1"/>
          <w:rtl w:val="0"/>
          <w:lang w:val="en-US"/>
        </w:rPr>
        <w:t>Judging Criteria</w:t>
      </w:r>
    </w:p>
    <w:p>
      <w:pPr>
        <w:pStyle w:val="Normal.0"/>
        <w:rPr>
          <w:rFonts w:ascii="Calibri" w:cs="Calibri" w:hAnsi="Calibri" w:eastAsia="Calibri"/>
        </w:rPr>
      </w:pPr>
    </w:p>
    <w:p>
      <w:pPr>
        <w:pStyle w:val="Colorful List - Accent 1"/>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Developing and administering a sponsorship strategic plan for the year that meets a network</w:t>
      </w:r>
      <w:r>
        <w:rPr>
          <w:rFonts w:ascii="Calibri" w:cs="Calibri" w:hAnsi="Calibri" w:eastAsia="Calibri"/>
          <w:rtl w:val="0"/>
          <w:lang w:val="en-US"/>
        </w:rPr>
        <w:t>’</w:t>
      </w:r>
      <w:r>
        <w:rPr>
          <w:rFonts w:ascii="Calibri" w:cs="Calibri" w:hAnsi="Calibri" w:eastAsia="Calibri"/>
          <w:rtl w:val="0"/>
          <w:lang w:val="en-US"/>
        </w:rPr>
        <w:t>s needs, for example:</w:t>
      </w:r>
    </w:p>
    <w:p>
      <w:pPr>
        <w:pStyle w:val="Colorful List - Accent 1"/>
        <w:rPr>
          <w:rFonts w:ascii="Calibri" w:cs="Calibri" w:hAnsi="Calibri" w:eastAsia="Calibri"/>
        </w:rPr>
      </w:pPr>
    </w:p>
    <w:p>
      <w:pPr>
        <w:pStyle w:val="Colorful List - Accent 1"/>
        <w:numPr>
          <w:ilvl w:val="1"/>
          <w:numId w:val="4"/>
        </w:numPr>
        <w:bidi w:val="0"/>
        <w:ind w:right="0"/>
        <w:jc w:val="left"/>
        <w:rPr>
          <w:rFonts w:ascii="Calibri" w:cs="Calibri" w:hAnsi="Calibri" w:eastAsia="Calibri"/>
          <w:rtl w:val="0"/>
          <w:lang w:val="en-US"/>
        </w:rPr>
      </w:pPr>
      <w:r>
        <w:rPr>
          <w:rFonts w:ascii="Calibri" w:cs="Calibri" w:hAnsi="Calibri" w:eastAsia="Calibri"/>
          <w:rtl w:val="0"/>
          <w:lang w:val="en-US"/>
        </w:rPr>
        <w:t>Calendar of due dates</w:t>
      </w:r>
    </w:p>
    <w:p>
      <w:pPr>
        <w:pStyle w:val="Colorful List - Accent 1"/>
        <w:numPr>
          <w:ilvl w:val="1"/>
          <w:numId w:val="4"/>
        </w:numPr>
        <w:bidi w:val="0"/>
        <w:ind w:right="0"/>
        <w:jc w:val="left"/>
        <w:rPr>
          <w:rFonts w:ascii="Calibri" w:cs="Calibri" w:hAnsi="Calibri" w:eastAsia="Calibri"/>
          <w:rtl w:val="0"/>
          <w:lang w:val="en-US"/>
        </w:rPr>
      </w:pPr>
      <w:r>
        <w:rPr>
          <w:rFonts w:ascii="Calibri" w:cs="Calibri" w:hAnsi="Calibri" w:eastAsia="Calibri"/>
          <w:rtl w:val="0"/>
          <w:lang w:val="en-US"/>
        </w:rPr>
        <w:t>Assignments to members</w:t>
      </w:r>
    </w:p>
    <w:p>
      <w:pPr>
        <w:pStyle w:val="Colorful List - Accent 1"/>
        <w:numPr>
          <w:ilvl w:val="1"/>
          <w:numId w:val="4"/>
        </w:numPr>
        <w:bidi w:val="0"/>
        <w:ind w:right="0"/>
        <w:jc w:val="left"/>
        <w:rPr>
          <w:rFonts w:ascii="Calibri" w:cs="Calibri" w:hAnsi="Calibri" w:eastAsia="Calibri"/>
          <w:rtl w:val="0"/>
          <w:lang w:val="en-US"/>
        </w:rPr>
      </w:pPr>
      <w:r>
        <w:rPr>
          <w:rFonts w:ascii="Calibri" w:cs="Calibri" w:hAnsi="Calibri" w:eastAsia="Calibri"/>
          <w:rtl w:val="0"/>
          <w:lang w:val="en-US"/>
        </w:rPr>
        <w:t>Identification of goals</w:t>
      </w:r>
    </w:p>
    <w:p>
      <w:pPr>
        <w:pStyle w:val="Colorful List - Accent 1"/>
        <w:numPr>
          <w:ilvl w:val="1"/>
          <w:numId w:val="4"/>
        </w:numPr>
        <w:bidi w:val="0"/>
        <w:ind w:right="0"/>
        <w:jc w:val="left"/>
        <w:rPr>
          <w:rFonts w:ascii="Calibri" w:cs="Calibri" w:hAnsi="Calibri" w:eastAsia="Calibri"/>
          <w:rtl w:val="0"/>
          <w:lang w:val="en-US"/>
        </w:rPr>
      </w:pPr>
      <w:r>
        <w:rPr>
          <w:rFonts w:ascii="Calibri" w:cs="Calibri" w:hAnsi="Calibri" w:eastAsia="Calibri"/>
          <w:rtl w:val="0"/>
          <w:lang w:val="en-US"/>
        </w:rPr>
        <w:t>Communications vehicles (e.g., updates on conference calls)</w:t>
      </w:r>
    </w:p>
    <w:p>
      <w:pPr>
        <w:pStyle w:val="Colorful List - Accent 1"/>
        <w:numPr>
          <w:ilvl w:val="1"/>
          <w:numId w:val="4"/>
        </w:numPr>
        <w:bidi w:val="0"/>
        <w:ind w:right="0"/>
        <w:jc w:val="left"/>
        <w:rPr>
          <w:rFonts w:ascii="Calibri" w:cs="Calibri" w:hAnsi="Calibri" w:eastAsia="Calibri"/>
          <w:rtl w:val="0"/>
          <w:lang w:val="en-US"/>
        </w:rPr>
      </w:pPr>
      <w:r>
        <w:rPr>
          <w:rFonts w:ascii="Calibri" w:cs="Calibri" w:hAnsi="Calibri" w:eastAsia="Calibri"/>
          <w:rtl w:val="0"/>
          <w:lang w:val="en-US"/>
        </w:rPr>
        <w:t>Assistance helping network identify specific goals</w:t>
      </w:r>
    </w:p>
    <w:p>
      <w:pPr>
        <w:pStyle w:val="Colorful List - Accent 1"/>
        <w:numPr>
          <w:ilvl w:val="1"/>
          <w:numId w:val="4"/>
        </w:numPr>
        <w:bidi w:val="0"/>
        <w:ind w:right="0"/>
        <w:jc w:val="left"/>
        <w:rPr>
          <w:rFonts w:ascii="Calibri" w:cs="Calibri" w:hAnsi="Calibri" w:eastAsia="Calibri"/>
          <w:rtl w:val="0"/>
          <w:lang w:val="en-US"/>
        </w:rPr>
      </w:pPr>
      <w:r>
        <w:rPr>
          <w:rFonts w:ascii="Calibri" w:cs="Calibri" w:hAnsi="Calibri" w:eastAsia="Calibri"/>
          <w:rtl w:val="0"/>
          <w:lang w:val="en-US"/>
        </w:rPr>
        <w:t>Initiative taken in providing information and resources for network members in compliance with terms of sponsorship agreement</w:t>
      </w:r>
    </w:p>
    <w:p>
      <w:pPr>
        <w:pStyle w:val="Colorful List - Accent 1"/>
        <w:ind w:left="1440" w:firstLine="0"/>
        <w:rPr>
          <w:rFonts w:ascii="Calibri" w:cs="Calibri" w:hAnsi="Calibri" w:eastAsia="Calibri"/>
        </w:rPr>
      </w:pPr>
    </w:p>
    <w:p>
      <w:pPr>
        <w:pStyle w:val="Colorful List - Accent 1"/>
        <w:numPr>
          <w:ilvl w:val="0"/>
          <w:numId w:val="5"/>
        </w:numPr>
        <w:bidi w:val="0"/>
        <w:ind w:right="0"/>
        <w:jc w:val="left"/>
        <w:rPr>
          <w:rFonts w:ascii="Calibri" w:cs="Calibri" w:hAnsi="Calibri" w:eastAsia="Calibri"/>
          <w:rtl w:val="0"/>
          <w:lang w:val="en-US"/>
        </w:rPr>
      </w:pPr>
      <w:r>
        <w:rPr>
          <w:rFonts w:ascii="Calibri" w:cs="Calibri" w:hAnsi="Calibri" w:eastAsia="Calibri"/>
          <w:rtl w:val="0"/>
          <w:lang w:val="en-US"/>
        </w:rPr>
        <w:t>Meeting the following resource obligations:</w:t>
      </w:r>
    </w:p>
    <w:p>
      <w:pPr>
        <w:pStyle w:val="Colorful List - Accent 1"/>
        <w:rPr>
          <w:rFonts w:ascii="Calibri" w:cs="Calibri" w:hAnsi="Calibri" w:eastAsia="Calibri"/>
        </w:rPr>
      </w:pPr>
    </w:p>
    <w:p>
      <w:pPr>
        <w:pStyle w:val="Colorful List - Accent 1"/>
        <w:numPr>
          <w:ilvl w:val="1"/>
          <w:numId w:val="7"/>
        </w:numPr>
        <w:bidi w:val="0"/>
        <w:ind w:right="0"/>
        <w:jc w:val="left"/>
        <w:rPr>
          <w:rFonts w:ascii="Calibri" w:cs="Calibri" w:hAnsi="Calibri" w:eastAsia="Calibri"/>
          <w:rtl w:val="0"/>
          <w:lang w:val="en-US"/>
        </w:rPr>
      </w:pPr>
      <w:r>
        <w:rPr>
          <w:rFonts w:ascii="Calibri" w:cs="Calibri" w:hAnsi="Calibri" w:eastAsia="Calibri"/>
          <w:rtl w:val="0"/>
          <w:lang w:val="en-US"/>
        </w:rPr>
        <w:t>Number of webcasts</w:t>
      </w:r>
    </w:p>
    <w:p>
      <w:pPr>
        <w:pStyle w:val="Colorful List - Accent 1"/>
        <w:numPr>
          <w:ilvl w:val="1"/>
          <w:numId w:val="7"/>
        </w:numPr>
        <w:bidi w:val="0"/>
        <w:ind w:right="0"/>
        <w:jc w:val="left"/>
        <w:rPr>
          <w:rFonts w:ascii="Calibri" w:cs="Calibri" w:hAnsi="Calibri" w:eastAsia="Calibri"/>
          <w:rtl w:val="0"/>
          <w:lang w:val="en-US"/>
        </w:rPr>
      </w:pPr>
      <w:r>
        <w:rPr>
          <w:rFonts w:ascii="Calibri" w:cs="Calibri" w:hAnsi="Calibri" w:eastAsia="Calibri"/>
          <w:rtl w:val="0"/>
          <w:lang w:val="en-US"/>
        </w:rPr>
        <w:t>Number of InfoPAKs</w:t>
      </w:r>
      <w:r>
        <w:rPr>
          <w:rFonts w:ascii="Calibri" w:cs="Calibri" w:hAnsi="Calibri" w:eastAsia="Calibri"/>
          <w:rtl w:val="0"/>
          <w:lang w:val="en-US"/>
        </w:rPr>
        <w:t>℠</w:t>
      </w:r>
    </w:p>
    <w:p>
      <w:pPr>
        <w:pStyle w:val="Colorful List - Accent 1"/>
        <w:numPr>
          <w:ilvl w:val="1"/>
          <w:numId w:val="7"/>
        </w:numPr>
        <w:bidi w:val="0"/>
        <w:ind w:right="0"/>
        <w:jc w:val="left"/>
        <w:rPr>
          <w:rFonts w:ascii="Calibri" w:cs="Calibri" w:hAnsi="Calibri" w:eastAsia="Calibri"/>
          <w:rtl w:val="0"/>
          <w:lang w:val="en-US"/>
        </w:rPr>
      </w:pPr>
      <w:r>
        <w:rPr>
          <w:rFonts w:ascii="Calibri" w:cs="Calibri" w:hAnsi="Calibri" w:eastAsia="Calibri"/>
          <w:rtl w:val="0"/>
          <w:lang w:val="en-US"/>
        </w:rPr>
        <w:t>Number of Virtual Library submissions (e.g., articles/forms)</w:t>
      </w:r>
    </w:p>
    <w:p>
      <w:pPr>
        <w:pStyle w:val="Colorful List - Accent 1"/>
        <w:numPr>
          <w:ilvl w:val="1"/>
          <w:numId w:val="7"/>
        </w:numPr>
        <w:bidi w:val="0"/>
        <w:ind w:right="0"/>
        <w:jc w:val="left"/>
        <w:rPr>
          <w:rFonts w:ascii="Calibri" w:cs="Calibri" w:hAnsi="Calibri" w:eastAsia="Calibri"/>
          <w:rtl w:val="0"/>
          <w:lang w:val="en-US"/>
        </w:rPr>
      </w:pPr>
      <w:r>
        <w:rPr>
          <w:rFonts w:ascii="Calibri" w:cs="Calibri" w:hAnsi="Calibri" w:eastAsia="Calibri"/>
          <w:rtl w:val="0"/>
          <w:lang w:val="en-US"/>
        </w:rPr>
        <w:t>Top Ten and Quick Counsel submissions</w:t>
      </w:r>
    </w:p>
    <w:p>
      <w:pPr>
        <w:pStyle w:val="Colorful List - Accent 1"/>
        <w:numPr>
          <w:ilvl w:val="1"/>
          <w:numId w:val="7"/>
        </w:numPr>
        <w:bidi w:val="0"/>
        <w:ind w:right="0"/>
        <w:jc w:val="left"/>
        <w:rPr>
          <w:rFonts w:ascii="Calibri" w:cs="Calibri" w:hAnsi="Calibri" w:eastAsia="Calibri"/>
          <w:rtl w:val="0"/>
          <w:lang w:val="en-US"/>
        </w:rPr>
      </w:pPr>
      <w:r>
        <w:rPr>
          <w:rFonts w:ascii="Calibri" w:cs="Calibri" w:hAnsi="Calibri" w:eastAsia="Calibri"/>
          <w:rtl w:val="0"/>
          <w:lang w:val="en-US"/>
        </w:rPr>
        <w:t>Docket articles (e.g., co-author articles)</w:t>
      </w:r>
    </w:p>
    <w:p>
      <w:pPr>
        <w:pStyle w:val="Colorful List - Accent 1"/>
        <w:numPr>
          <w:ilvl w:val="1"/>
          <w:numId w:val="7"/>
        </w:numPr>
        <w:bidi w:val="0"/>
        <w:ind w:right="0"/>
        <w:jc w:val="left"/>
        <w:rPr>
          <w:rFonts w:ascii="Calibri" w:cs="Calibri" w:hAnsi="Calibri" w:eastAsia="Calibri"/>
          <w:rtl w:val="0"/>
          <w:lang w:val="en-US"/>
        </w:rPr>
      </w:pPr>
      <w:r>
        <w:rPr>
          <w:rFonts w:ascii="Calibri" w:cs="Calibri" w:hAnsi="Calibri" w:eastAsia="Calibri"/>
          <w:rtl w:val="0"/>
          <w:lang w:val="en-US"/>
        </w:rPr>
        <w:t>Assistance with program development</w:t>
      </w:r>
    </w:p>
    <w:p>
      <w:pPr>
        <w:pStyle w:val="Normal.0"/>
        <w:rPr>
          <w:rFonts w:ascii="Calibri" w:cs="Calibri" w:hAnsi="Calibri" w:eastAsia="Calibri"/>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cs="Calibri" w:hAnsi="Calibri" w:eastAsia="Calibri"/>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Review Process and Awards Presentation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cs="Calibri" w:hAnsi="Calibri" w:eastAsia="Calibri"/>
        </w:rPr>
      </w:pPr>
      <w:r>
        <w:rPr>
          <w:rFonts w:ascii="Calibri" w:cs="Calibri" w:hAnsi="Calibri" w:eastAsia="Calibri"/>
          <w:rtl w:val="0"/>
          <w:lang w:val="en-US"/>
        </w:rPr>
        <w:t>The Awards Committee, composed of the chair, vice chair, and secretary of Network Leadership Council, and ACC</w:t>
      </w:r>
      <w:r>
        <w:rPr>
          <w:rFonts w:ascii="Calibri" w:cs="Calibri" w:hAnsi="Calibri" w:eastAsia="Calibri"/>
          <w:rtl w:val="0"/>
          <w:lang w:val="en-US"/>
        </w:rPr>
        <w:t>’</w:t>
      </w:r>
      <w:r>
        <w:rPr>
          <w:rFonts w:ascii="Calibri" w:cs="Calibri" w:hAnsi="Calibri" w:eastAsia="Calibri"/>
          <w:rtl w:val="0"/>
          <w:lang w:val="en-US"/>
        </w:rPr>
        <w:t>s Networks staff, reviews all nominations and makes its recommendations to the Services Committee of the ACC Board of Directors, which makes the final awards decision. Awards are presented at ACC</w:t>
      </w:r>
      <w:r>
        <w:rPr>
          <w:rFonts w:ascii="Calibri" w:cs="Calibri" w:hAnsi="Calibri" w:eastAsia="Calibri"/>
          <w:rtl w:val="0"/>
          <w:lang w:val="en-US"/>
        </w:rPr>
        <w:t>’</w:t>
      </w:r>
      <w:r>
        <w:rPr>
          <w:rFonts w:ascii="Calibri" w:cs="Calibri" w:hAnsi="Calibri" w:eastAsia="Calibri"/>
          <w:rtl w:val="0"/>
          <w:lang w:val="en-US"/>
        </w:rPr>
        <w:t xml:space="preserve">s Annual Meeting and publicized within and outside of ACC as appropriate.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cs="Calibri" w:hAnsi="Calibri" w:eastAsia="Calibri"/>
        </w:rPr>
      </w:pPr>
      <w:r>
        <w:rPr>
          <w:rFonts w:ascii="Calibri" w:cs="Calibri" w:hAnsi="Calibri" w:eastAsia="Calibri"/>
          <w:rtl w:val="0"/>
          <w:lang w:val="en-US"/>
        </w:rPr>
        <w:t xml:space="preserve"> </w:t>
      </w:r>
    </w:p>
    <w:p>
      <w:pPr>
        <w:pStyle w:val="Normal.0"/>
        <w:rPr>
          <w:rFonts w:ascii="Calibri" w:cs="Calibri" w:hAnsi="Calibri" w:eastAsia="Calibri"/>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Calibri" w:cs="Calibri" w:hAnsi="Calibri" w:eastAsia="Calibri"/>
          <w:sz w:val="28"/>
          <w:szCs w:val="28"/>
        </w:rPr>
        <w:br w:type="page"/>
      </w:r>
    </w:p>
    <w:tbl>
      <w:tblPr>
        <w:tblW w:w="88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8"/>
        <w:gridCol w:w="1350"/>
        <w:gridCol w:w="6408"/>
      </w:tblGrid>
      <w:tr>
        <w:tblPrEx>
          <w:shd w:val="clear" w:color="auto" w:fill="ced7e7"/>
        </w:tblPrEx>
        <w:trPr>
          <w:trHeight w:val="782" w:hRule="atLeast"/>
        </w:trPr>
        <w:tc>
          <w:tcPr>
            <w:tcW w:type="dxa" w:w="885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b w:val="1"/>
                <w:bCs w:val="1"/>
                <w:sz w:val="20"/>
                <w:szCs w:val="20"/>
                <w:lang w:val="en-US"/>
              </w:rPr>
            </w:pPr>
          </w:p>
          <w:p>
            <w:pPr>
              <w:pStyle w:val="Normal.0"/>
              <w:bidi w:val="0"/>
              <w:ind w:left="0" w:right="0" w:firstLine="0"/>
              <w:jc w:val="center"/>
              <w:rPr>
                <w:rtl w:val="0"/>
              </w:rPr>
            </w:pPr>
            <w:r>
              <w:rPr>
                <w:rFonts w:ascii="Garamond" w:hAnsi="Garamond"/>
                <w:b w:val="1"/>
                <w:bCs w:val="1"/>
                <w:i w:val="1"/>
                <w:iCs w:val="1"/>
                <w:sz w:val="28"/>
                <w:szCs w:val="28"/>
                <w:rtl w:val="0"/>
                <w:lang w:val="en-US"/>
              </w:rPr>
              <w:t>Network Sponsor of the Year Award Nomination</w:t>
            </w:r>
            <w:r>
              <w:rPr>
                <w:rFonts w:ascii="Garamond" w:cs="Garamond" w:hAnsi="Garamond" w:eastAsia="Garamond"/>
                <w:b w:val="1"/>
                <w:bCs w:val="1"/>
                <w:i w:val="1"/>
                <w:iCs w:val="1"/>
                <w:sz w:val="28"/>
                <w:szCs w:val="28"/>
              </w:rPr>
            </w:r>
          </w:p>
        </w:tc>
      </w:tr>
      <w:tr>
        <w:tblPrEx>
          <w:shd w:val="clear" w:color="auto" w:fill="ced7e7"/>
        </w:tblPrEx>
        <w:trPr>
          <w:trHeight w:val="702" w:hRule="atLeast"/>
        </w:trPr>
        <w:tc>
          <w:tcPr>
            <w:tcW w:type="dxa" w:w="885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b w:val="1"/>
                <w:bCs w:val="1"/>
                <w:sz w:val="20"/>
                <w:szCs w:val="20"/>
                <w:rtl w:val="0"/>
                <w:lang w:val="en-US"/>
              </w:rPr>
              <w:t xml:space="preserve">Sponsor: </w:t>
            </w:r>
            <w:r>
              <w:rPr>
                <w:rFonts w:ascii="Garamond" w:hAnsi="Garamond"/>
                <w:b w:val="1"/>
                <w:bCs w:val="1"/>
                <w:sz w:val="20"/>
                <w:szCs w:val="20"/>
                <w:rtl w:val="0"/>
                <w:lang w:val="en-US"/>
              </w:rPr>
              <w:t>International Society of Primerus Law Firms (Primerus)</w:t>
            </w:r>
            <w:r>
              <w:rPr>
                <w:rFonts w:ascii="Garamond" w:cs="Garamond" w:hAnsi="Garamond" w:eastAsia="Garamond"/>
                <w:sz w:val="20"/>
                <w:szCs w:val="20"/>
              </w:rPr>
            </w:r>
          </w:p>
        </w:tc>
      </w:tr>
      <w:tr>
        <w:tblPrEx>
          <w:shd w:val="clear" w:color="auto" w:fill="ced7e7"/>
        </w:tblPrEx>
        <w:trPr>
          <w:trHeight w:val="702" w:hRule="atLeast"/>
        </w:trPr>
        <w:tc>
          <w:tcPr>
            <w:tcW w:type="dxa" w:w="885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b w:val="1"/>
                <w:bCs w:val="1"/>
                <w:sz w:val="20"/>
                <w:szCs w:val="20"/>
                <w:rtl w:val="0"/>
                <w:lang w:val="en-US"/>
              </w:rPr>
              <w:t xml:space="preserve">Network: </w:t>
            </w:r>
            <w:r>
              <w:rPr>
                <w:rFonts w:ascii="Garamond" w:hAnsi="Garamond"/>
                <w:b w:val="1"/>
                <w:bCs w:val="1"/>
                <w:sz w:val="20"/>
                <w:szCs w:val="20"/>
                <w:rtl w:val="0"/>
                <w:lang w:val="en-US"/>
              </w:rPr>
              <w:t>ILAN</w:t>
            </w:r>
            <w:r>
              <w:rPr>
                <w:rFonts w:ascii="Garamond" w:cs="Garamond" w:hAnsi="Garamond" w:eastAsia="Garamond"/>
                <w:sz w:val="20"/>
                <w:szCs w:val="20"/>
              </w:rPr>
            </w:r>
          </w:p>
        </w:tc>
      </w:tr>
      <w:tr>
        <w:tblPrEx>
          <w:shd w:val="clear" w:color="auto" w:fill="ced7e7"/>
        </w:tblPrEx>
        <w:trPr>
          <w:trHeight w:val="250" w:hRule="atLeast"/>
        </w:trPr>
        <w:tc>
          <w:tcPr>
            <w:tcW w:type="dxa" w:w="885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top"/>
          </w:tcPr>
          <w:p>
            <w:pPr>
              <w:pStyle w:val="Normal.0"/>
              <w:jc w:val="center"/>
            </w:pPr>
            <w:r>
              <w:rPr>
                <w:rFonts w:ascii="Garamond" w:hAnsi="Garamond"/>
                <w:b w:val="1"/>
                <w:bCs w:val="1"/>
                <w:sz w:val="20"/>
                <w:szCs w:val="20"/>
                <w:rtl w:val="0"/>
                <w:lang w:val="en-US"/>
              </w:rPr>
              <w:t>Judging Criteria</w:t>
            </w:r>
          </w:p>
        </w:tc>
      </w:tr>
      <w:tr>
        <w:tblPrEx>
          <w:shd w:val="clear" w:color="auto" w:fill="ced7e7"/>
        </w:tblPrEx>
        <w:trPr>
          <w:trHeight w:val="1210" w:hRule="atLeast"/>
        </w:trPr>
        <w:tc>
          <w:tcPr>
            <w:tcW w:type="dxa" w:w="1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Network</w:t>
            </w:r>
          </w:p>
          <w:p>
            <w:pPr>
              <w:pStyle w:val="Normal.0"/>
              <w:bidi w:val="0"/>
              <w:ind w:left="0" w:right="0" w:firstLine="0"/>
              <w:jc w:val="left"/>
              <w:rPr>
                <w:rtl w:val="0"/>
              </w:rPr>
            </w:pPr>
            <w:r>
              <w:rPr>
                <w:rFonts w:ascii="Garamond" w:hAnsi="Garamond"/>
                <w:sz w:val="20"/>
                <w:szCs w:val="20"/>
                <w:rtl w:val="0"/>
                <w:lang w:val="en-US"/>
              </w:rPr>
              <w:t>Planning</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Garamond" w:hAnsi="Garamond"/>
                <w:sz w:val="20"/>
                <w:szCs w:val="20"/>
                <w:rtl w:val="0"/>
                <w:lang w:val="en-US"/>
              </w:rPr>
              <w:t>Assist committee to develop and administer a strategic plan</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Primerus assisted the ILAN with its global outreach activities and facilitated meetings outside the U.S. between ILAN LT members with Primerus members interested in greater involvement with ACC.</w:t>
            </w:r>
          </w:p>
        </w:tc>
      </w:tr>
      <w:tr>
        <w:tblPrEx>
          <w:shd w:val="clear" w:color="auto" w:fill="ced7e7"/>
        </w:tblPrEx>
        <w:trPr>
          <w:trHeight w:val="2170" w:hRule="atLeast"/>
        </w:trPr>
        <w:tc>
          <w:tcPr>
            <w:tcW w:type="dxa" w:w="10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 xml:space="preserve">Create </w:t>
            </w:r>
          </w:p>
          <w:p>
            <w:pPr>
              <w:pStyle w:val="Normal.0"/>
              <w:bidi w:val="0"/>
              <w:ind w:left="0" w:right="0" w:firstLine="0"/>
              <w:jc w:val="left"/>
              <w:rPr>
                <w:rtl w:val="0"/>
              </w:rPr>
            </w:pPr>
            <w:r>
              <w:rPr>
                <w:rFonts w:ascii="Garamond" w:hAnsi="Garamond"/>
                <w:sz w:val="20"/>
                <w:szCs w:val="20"/>
                <w:rtl w:val="0"/>
                <w:lang w:val="en-US"/>
              </w:rPr>
              <w:t>Resources</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Legal Quick Hits</w:t>
            </w:r>
          </w:p>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sz w:val="20"/>
                <w:szCs w:val="20"/>
                <w:rtl w:val="0"/>
                <w:lang w:val="en-US"/>
              </w:rPr>
              <w:t>Title(s):</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 xml:space="preserve">LQHs provided globally (APAC handled separately as noted below) the second Thursday of each month except for October (month of annual meeting). The sponsor assisted with planning, preparation of and provided panelists to present materials. Titles: </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International Trade - - Tariffs,</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 “</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Social Media Ethics in the Modern Age,</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 “</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Now What? Multinational Corporations Facing More Employment Lawsuits from All Fronts,</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 “</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Employment: Hiring and Transferring of Employees Internationally,</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 “</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Developing A Cross Border Compliance Program,</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 “</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Cybersecurity Round-up: A Global Perspective,</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 “</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The U.S. - Mexico - Canada Agreement; Changes to Business,</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 “</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Climate Change Litigation</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w:t>
            </w:r>
          </w:p>
        </w:tc>
      </w:tr>
      <w:tr>
        <w:tblPrEx>
          <w:shd w:val="clear" w:color="auto" w:fill="ced7e7"/>
        </w:tblPrEx>
        <w:trPr>
          <w:trHeight w:val="730" w:hRule="atLeast"/>
        </w:trPr>
        <w:tc>
          <w:tcPr>
            <w:tcW w:type="dxa" w:w="10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Webcasts</w:t>
            </w:r>
          </w:p>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sz w:val="20"/>
                <w:szCs w:val="20"/>
                <w:rtl w:val="0"/>
                <w:lang w:val="en-US"/>
              </w:rPr>
              <w:t>Title(s):</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All of the LQHs referenced above were presented as Webcasts to the APAC region on Wednesday evenings (EST).</w:t>
            </w:r>
          </w:p>
        </w:tc>
      </w:tr>
      <w:tr>
        <w:tblPrEx>
          <w:shd w:val="clear" w:color="auto" w:fill="ced7e7"/>
        </w:tblPrEx>
        <w:trPr>
          <w:trHeight w:val="730" w:hRule="atLeast"/>
        </w:trPr>
        <w:tc>
          <w:tcPr>
            <w:tcW w:type="dxa" w:w="10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InfoPAKS</w:t>
            </w:r>
          </w:p>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sz w:val="20"/>
                <w:szCs w:val="20"/>
                <w:rtl w:val="0"/>
                <w:lang w:val="en-US"/>
              </w:rPr>
              <w:t>Title(s):</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0" w:hRule="atLeast"/>
        </w:trPr>
        <w:tc>
          <w:tcPr>
            <w:tcW w:type="dxa" w:w="10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Sample Forms for VL</w:t>
            </w:r>
          </w:p>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sz w:val="20"/>
                <w:szCs w:val="20"/>
                <w:rtl w:val="0"/>
                <w:lang w:val="en-US"/>
              </w:rPr>
              <w:t>Title(s):</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0" w:hRule="atLeast"/>
        </w:trPr>
        <w:tc>
          <w:tcPr>
            <w:tcW w:type="dxa" w:w="10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ACC Docket Article</w:t>
            </w:r>
          </w:p>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sz w:val="20"/>
                <w:szCs w:val="20"/>
                <w:rtl w:val="0"/>
                <w:lang w:val="en-US"/>
              </w:rPr>
              <w:t>Title(s):</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10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ACC Top Ten</w:t>
            </w:r>
          </w:p>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sz w:val="20"/>
                <w:szCs w:val="20"/>
                <w:rtl w:val="0"/>
                <w:lang w:val="en-US"/>
              </w:rPr>
              <w:t>Title(s):</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0" w:hRule="atLeast"/>
        </w:trPr>
        <w:tc>
          <w:tcPr>
            <w:tcW w:type="dxa" w:w="10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ACC Quick Counsel</w:t>
            </w:r>
          </w:p>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sz w:val="20"/>
                <w:szCs w:val="20"/>
                <w:rtl w:val="0"/>
                <w:lang w:val="en-US"/>
              </w:rPr>
              <w:t>Titles(s):</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930" w:hRule="atLeast"/>
        </w:trPr>
        <w:tc>
          <w:tcPr>
            <w:tcW w:type="dxa" w:w="10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Garamond" w:cs="Garamond" w:hAnsi="Garamond" w:eastAsia="Garamond"/>
                <w:sz w:val="20"/>
                <w:szCs w:val="20"/>
              </w:rPr>
            </w:pPr>
            <w:r>
              <w:rPr>
                <w:rFonts w:ascii="Garamond" w:hAnsi="Garamond"/>
                <w:sz w:val="20"/>
                <w:szCs w:val="20"/>
                <w:rtl w:val="0"/>
                <w:lang w:val="en-US"/>
              </w:rPr>
              <w:t>Other Resources Types</w:t>
            </w:r>
          </w:p>
          <w:p>
            <w:pPr>
              <w:pStyle w:val="Normal.0"/>
              <w:rPr>
                <w:rFonts w:ascii="Garamond" w:cs="Garamond" w:hAnsi="Garamond" w:eastAsia="Garamond"/>
                <w:sz w:val="20"/>
                <w:szCs w:val="20"/>
                <w:lang w:val="en-US"/>
              </w:rPr>
            </w:pPr>
          </w:p>
          <w:p>
            <w:pPr>
              <w:pStyle w:val="Normal.0"/>
              <w:bidi w:val="0"/>
              <w:ind w:left="0" w:right="0" w:firstLine="0"/>
              <w:jc w:val="left"/>
              <w:rPr>
                <w:rtl w:val="0"/>
              </w:rPr>
            </w:pPr>
            <w:r>
              <w:rPr>
                <w:rFonts w:ascii="Garamond" w:hAnsi="Garamond"/>
                <w:sz w:val="20"/>
                <w:szCs w:val="20"/>
                <w:rtl w:val="0"/>
                <w:lang w:val="en-US"/>
              </w:rPr>
              <w:t>Title(s):</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Primerus International Law Convocation, Miami, Florida.  Primerus hosted its second (and largest) convocation in May 2019 and invited ILAN LT members to participate in the event. Five ILAN LT members were hosted by Primerus at no cost to each member.  The ILAN LT members in attendance organized, moderated and presented materials on panels consisting of attorneys around the globe.  This event also provided an outstanding opportunity for the ILAN LT members to meet colleagues and discuss the ACC</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s and the ILAN</w:t>
            </w:r>
            <w:r>
              <w:rPr>
                <w:rFonts w:ascii="Garamond" w:cs="Cambria" w:hAnsi="Garamond" w:eastAsia="Cambria" w:hint="default"/>
                <w:b w:val="0"/>
                <w:bCs w:val="0"/>
                <w:i w:val="0"/>
                <w:iCs w:val="0"/>
                <w:caps w:val="0"/>
                <w:smallCaps w:val="0"/>
                <w:strike w:val="0"/>
                <w:dstrike w:val="0"/>
                <w:outline w:val="0"/>
                <w:color w:val="000000"/>
                <w:spacing w:val="0"/>
                <w:kern w:val="0"/>
                <w:position w:val="0"/>
                <w:sz w:val="20"/>
                <w:szCs w:val="20"/>
                <w:u w:val="none" w:color="000000"/>
                <w:vertAlign w:val="baseline"/>
                <w:rtl w:val="0"/>
              </w:rPr>
              <w:t>’</w:t>
            </w: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s global activities.</w:t>
            </w:r>
          </w:p>
        </w:tc>
      </w:tr>
      <w:tr>
        <w:tblPrEx>
          <w:shd w:val="clear" w:color="auto" w:fill="ced7e7"/>
        </w:tblPrEx>
        <w:trPr>
          <w:trHeight w:val="1210" w:hRule="atLeast"/>
        </w:trPr>
        <w:tc>
          <w:tcPr>
            <w:tcW w:type="dxa" w:w="1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Garamond" w:hAnsi="Garamond"/>
                <w:sz w:val="20"/>
                <w:szCs w:val="20"/>
                <w:rtl w:val="0"/>
                <w:lang w:val="en-US"/>
              </w:rPr>
              <w:t>Sponsored Annual Meeting Networking Event</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Garamond" w:cs="Cambria" w:hAnsi="Garamond"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Yes. Sponsored and assisted with preparing five (5) presentations at the 2018 AM and hosted a networking event attended by over 200 AM participants.</w:t>
            </w:r>
          </w:p>
        </w:tc>
      </w:tr>
    </w:tbl>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cs="Calibri" w:hAnsi="Calibri" w:eastAsia="Calibri"/>
          <w:sz w:val="28"/>
          <w:szCs w:val="28"/>
        </w:rPr>
      </w:pPr>
    </w:p>
    <w:p>
      <w:pPr>
        <w:pStyle w:val="Normal.0"/>
        <w:rPr>
          <w:rFonts w:ascii="Garamond" w:cs="Garamond" w:hAnsi="Garamond" w:eastAsia="Garamond"/>
        </w:rPr>
      </w:pPr>
    </w:p>
    <w:p>
      <w:pPr>
        <w:pStyle w:val="Normal.0"/>
        <w:jc w:val="center"/>
      </w:pPr>
      <w:r>
        <w:rPr>
          <w:rFonts w:ascii="Arial Unicode MS" w:cs="Arial Unicode MS" w:hAnsi="Arial Unicode MS" w:eastAsia="Arial Unicode MS"/>
          <w:b w:val="0"/>
          <w:bCs w:val="0"/>
          <w:i w:val="0"/>
          <w:iCs w:val="0"/>
        </w:rPr>
        <w:br w:type="page"/>
      </w:r>
    </w:p>
    <w:p>
      <w:pPr>
        <w:pStyle w:val="Normal.0"/>
        <w:jc w:val="center"/>
        <w:rPr>
          <w:rFonts w:ascii="Garamond" w:cs="Garamond" w:hAnsi="Garamond" w:eastAsia="Garamond"/>
          <w:b w:val="1"/>
          <w:bCs w:val="1"/>
          <w:i w:val="1"/>
          <w:iCs w:val="1"/>
          <w:sz w:val="28"/>
          <w:szCs w:val="28"/>
        </w:rPr>
      </w:pPr>
      <w:r>
        <w:rPr>
          <w:rFonts w:ascii="Garamond" w:hAnsi="Garamond"/>
          <w:b w:val="1"/>
          <w:bCs w:val="1"/>
          <w:i w:val="1"/>
          <w:iCs w:val="1"/>
          <w:sz w:val="28"/>
          <w:szCs w:val="28"/>
          <w:rtl w:val="0"/>
          <w:lang w:val="en-US"/>
        </w:rPr>
        <w:t>Network Sponsor of the Year Award Nomination</w:t>
      </w:r>
    </w:p>
    <w:p>
      <w:pPr>
        <w:pStyle w:val="Normal.0"/>
        <w:jc w:val="center"/>
        <w:rPr>
          <w:rFonts w:ascii="Garamond" w:cs="Garamond" w:hAnsi="Garamond" w:eastAsia="Garamond"/>
          <w:b w:val="1"/>
          <w:bCs w:val="1"/>
          <w:i w:val="1"/>
          <w:iCs w:val="1"/>
          <w:sz w:val="28"/>
          <w:szCs w:val="28"/>
        </w:rPr>
      </w:pPr>
      <w:r>
        <w:rPr>
          <w:rFonts w:ascii="Garamond" w:hAnsi="Garamond"/>
          <w:b w:val="1"/>
          <w:bCs w:val="1"/>
          <w:i w:val="1"/>
          <w:iCs w:val="1"/>
          <w:sz w:val="28"/>
          <w:szCs w:val="28"/>
          <w:rtl w:val="0"/>
          <w:lang w:val="en-US"/>
        </w:rPr>
        <w:t>(Continued)</w:t>
      </w:r>
    </w:p>
    <w:p>
      <w:pPr>
        <w:pStyle w:val="Normal.0"/>
        <w:rPr>
          <w:rFonts w:ascii="Garamond" w:cs="Garamond" w:hAnsi="Garamond" w:eastAsia="Garamond"/>
          <w:b w:val="1"/>
          <w:bCs w:val="1"/>
          <w:i w:val="1"/>
          <w:iCs w:val="1"/>
          <w:sz w:val="28"/>
          <w:szCs w:val="28"/>
        </w:rPr>
      </w:pPr>
    </w:p>
    <w:p>
      <w:pPr>
        <w:pStyle w:val="Normal.0"/>
        <w:rPr>
          <w:rFonts w:ascii="Calibri" w:cs="Calibri" w:hAnsi="Calibri" w:eastAsia="Calibri"/>
          <w:b w:val="1"/>
          <w:bCs w:val="1"/>
        </w:rPr>
      </w:pPr>
      <w:r>
        <w:rPr>
          <w:rFonts w:ascii="Garamond" w:hAnsi="Garamond"/>
          <w:rtl w:val="0"/>
          <w:lang w:val="en-US"/>
        </w:rPr>
        <w:t>What do you consider to be your greatest contribution to the network during the calendar year?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Calibri" w:cs="Calibri" w:hAnsi="Calibri" w:eastAsia="Calibri"/>
          <w:b w:val="1"/>
          <w:bCs w:val="1"/>
          <w:rtl w:val="0"/>
          <w:lang w:val="en-US"/>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olorful List - Accent 1">
    <w:name w:val="Colorful List - Accent 1"/>
    <w:next w:val="Colorful List - Accent 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