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445" w:rsidRDefault="00615445" w:rsidP="00921E85">
      <w:pPr>
        <w:rPr>
          <w:b/>
          <w:color w:val="FF0000"/>
          <w:sz w:val="28"/>
          <w:szCs w:val="28"/>
        </w:rPr>
      </w:pPr>
      <w:r>
        <w:rPr>
          <w:b/>
          <w:noProof/>
          <w:color w:val="FF0000"/>
          <w:sz w:val="28"/>
          <w:szCs w:val="28"/>
        </w:rPr>
        <w:drawing>
          <wp:inline distT="0" distB="0" distL="0" distR="0">
            <wp:extent cx="1828800" cy="6949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 New Jersey small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694944"/>
                    </a:xfrm>
                    <a:prstGeom prst="rect">
                      <a:avLst/>
                    </a:prstGeom>
                  </pic:spPr>
                </pic:pic>
              </a:graphicData>
            </a:graphic>
          </wp:inline>
        </w:drawing>
      </w:r>
    </w:p>
    <w:p w:rsidR="00615445" w:rsidRDefault="00615445" w:rsidP="00921E85">
      <w:pPr>
        <w:rPr>
          <w:b/>
          <w:color w:val="FF0000"/>
          <w:sz w:val="28"/>
          <w:szCs w:val="28"/>
        </w:rPr>
      </w:pPr>
    </w:p>
    <w:p w:rsidR="00615445" w:rsidRDefault="00615445" w:rsidP="00921E85">
      <w:pPr>
        <w:rPr>
          <w:b/>
          <w:color w:val="FF0000"/>
          <w:sz w:val="28"/>
          <w:szCs w:val="28"/>
        </w:rPr>
      </w:pPr>
    </w:p>
    <w:p w:rsidR="00615445" w:rsidRPr="00D62BA8" w:rsidRDefault="00615445" w:rsidP="00921E85">
      <w:pPr>
        <w:rPr>
          <w:b/>
          <w:color w:val="C00000"/>
          <w:sz w:val="28"/>
          <w:szCs w:val="28"/>
        </w:rPr>
      </w:pPr>
    </w:p>
    <w:p w:rsidR="00921E85" w:rsidRPr="00D62BA8" w:rsidRDefault="00921E85" w:rsidP="00921E85">
      <w:pPr>
        <w:rPr>
          <w:b/>
          <w:color w:val="C00000"/>
          <w:sz w:val="28"/>
          <w:szCs w:val="28"/>
        </w:rPr>
      </w:pPr>
      <w:r w:rsidRPr="00D62BA8">
        <w:rPr>
          <w:b/>
          <w:color w:val="C00000"/>
          <w:sz w:val="28"/>
          <w:szCs w:val="28"/>
        </w:rPr>
        <w:t>Mission Statement</w:t>
      </w:r>
    </w:p>
    <w:p w:rsidR="00921E85" w:rsidRPr="00615445" w:rsidRDefault="00921E85" w:rsidP="00921E85">
      <w:pPr>
        <w:rPr>
          <w:b/>
          <w:color w:val="FF0000"/>
          <w:sz w:val="24"/>
          <w:szCs w:val="24"/>
        </w:rPr>
      </w:pPr>
    </w:p>
    <w:p w:rsidR="00921E85" w:rsidRPr="00615445" w:rsidRDefault="00921E85" w:rsidP="00921E85">
      <w:pPr>
        <w:rPr>
          <w:sz w:val="24"/>
          <w:szCs w:val="24"/>
        </w:rPr>
      </w:pPr>
      <w:r w:rsidRPr="00615445">
        <w:rPr>
          <w:sz w:val="24"/>
          <w:szCs w:val="24"/>
        </w:rPr>
        <w:t xml:space="preserve">ACC is a global bar association that promotes the common professional and business interests of in-house counsel who work for corporations, associations and other private-sector </w:t>
      </w:r>
      <w:bookmarkStart w:id="0" w:name="_GoBack"/>
      <w:r w:rsidRPr="00615445">
        <w:rPr>
          <w:sz w:val="24"/>
          <w:szCs w:val="24"/>
        </w:rPr>
        <w:t xml:space="preserve">organizations through information, education, networking opportunities and advocacy </w:t>
      </w:r>
      <w:bookmarkEnd w:id="0"/>
      <w:r w:rsidRPr="00615445">
        <w:rPr>
          <w:sz w:val="24"/>
          <w:szCs w:val="24"/>
        </w:rPr>
        <w:t>initiatives.</w:t>
      </w:r>
    </w:p>
    <w:p w:rsidR="00921E85" w:rsidRPr="00615445" w:rsidRDefault="00921E85" w:rsidP="00921E85">
      <w:pPr>
        <w:rPr>
          <w:sz w:val="24"/>
          <w:szCs w:val="24"/>
        </w:rPr>
      </w:pPr>
      <w:r w:rsidRPr="00615445">
        <w:rPr>
          <w:sz w:val="24"/>
          <w:szCs w:val="24"/>
        </w:rPr>
        <w:t>Vision Statement</w:t>
      </w:r>
    </w:p>
    <w:p w:rsidR="00921E85" w:rsidRPr="00615445" w:rsidRDefault="00921E85" w:rsidP="00921E85">
      <w:pPr>
        <w:rPr>
          <w:sz w:val="24"/>
          <w:szCs w:val="24"/>
        </w:rPr>
      </w:pPr>
      <w:r w:rsidRPr="00615445">
        <w:rPr>
          <w:sz w:val="24"/>
          <w:szCs w:val="24"/>
        </w:rPr>
        <w:t>ACC aims to be the premier global bar association serving the diversified needs of in-house counsel by:</w:t>
      </w:r>
    </w:p>
    <w:p w:rsidR="00921E85" w:rsidRPr="00615445" w:rsidRDefault="00921E85" w:rsidP="00921E85">
      <w:pPr>
        <w:numPr>
          <w:ilvl w:val="0"/>
          <w:numId w:val="1"/>
        </w:numPr>
        <w:rPr>
          <w:rFonts w:eastAsia="Times New Roman"/>
          <w:sz w:val="24"/>
          <w:szCs w:val="24"/>
        </w:rPr>
      </w:pPr>
      <w:r w:rsidRPr="00615445">
        <w:rPr>
          <w:rFonts w:eastAsia="Times New Roman"/>
          <w:sz w:val="24"/>
          <w:szCs w:val="24"/>
        </w:rPr>
        <w:t>anticipating and understanding the needs of the in-house bar</w:t>
      </w:r>
    </w:p>
    <w:p w:rsidR="00921E85" w:rsidRPr="00615445" w:rsidRDefault="00921E85" w:rsidP="00921E85">
      <w:pPr>
        <w:numPr>
          <w:ilvl w:val="0"/>
          <w:numId w:val="2"/>
        </w:numPr>
        <w:rPr>
          <w:rFonts w:eastAsia="Times New Roman"/>
          <w:sz w:val="24"/>
          <w:szCs w:val="24"/>
        </w:rPr>
      </w:pPr>
      <w:r w:rsidRPr="00615445">
        <w:rPr>
          <w:rFonts w:eastAsia="Times New Roman"/>
          <w:sz w:val="24"/>
          <w:szCs w:val="24"/>
        </w:rPr>
        <w:t>helping members deliver services to their corporate clients efficiently and promote the value of in-house services</w:t>
      </w:r>
    </w:p>
    <w:p w:rsidR="00921E85" w:rsidRPr="00615445" w:rsidRDefault="00921E85" w:rsidP="00921E85">
      <w:pPr>
        <w:numPr>
          <w:ilvl w:val="0"/>
          <w:numId w:val="3"/>
        </w:numPr>
        <w:rPr>
          <w:rFonts w:eastAsia="Times New Roman"/>
          <w:sz w:val="24"/>
          <w:szCs w:val="24"/>
        </w:rPr>
      </w:pPr>
      <w:r w:rsidRPr="00615445">
        <w:rPr>
          <w:rFonts w:eastAsia="Times New Roman"/>
          <w:sz w:val="24"/>
          <w:szCs w:val="24"/>
        </w:rPr>
        <w:t>influencing the practice of law as it affects the in-house bar</w:t>
      </w:r>
    </w:p>
    <w:p w:rsidR="00921E85" w:rsidRPr="00124538" w:rsidRDefault="00921E85" w:rsidP="00921E85">
      <w:pPr>
        <w:numPr>
          <w:ilvl w:val="0"/>
          <w:numId w:val="4"/>
        </w:numPr>
        <w:rPr>
          <w:rFonts w:eastAsia="Times New Roman"/>
          <w:sz w:val="24"/>
          <w:szCs w:val="24"/>
        </w:rPr>
      </w:pPr>
      <w:r w:rsidRPr="00124538">
        <w:rPr>
          <w:rFonts w:eastAsia="Times New Roman"/>
          <w:sz w:val="24"/>
          <w:szCs w:val="24"/>
        </w:rPr>
        <w:t>delivering a mix of relevant, timely services, including information, education, networking, and advocacy</w:t>
      </w:r>
    </w:p>
    <w:p w:rsidR="00921E85" w:rsidRPr="00D62BA8" w:rsidRDefault="00921E85" w:rsidP="00921E85">
      <w:pPr>
        <w:ind w:left="720"/>
        <w:rPr>
          <w:rFonts w:eastAsia="Times New Roman"/>
          <w:color w:val="C00000"/>
          <w:sz w:val="24"/>
          <w:szCs w:val="24"/>
        </w:rPr>
      </w:pPr>
    </w:p>
    <w:p w:rsidR="00921E85" w:rsidRPr="00D62BA8" w:rsidRDefault="00921E85" w:rsidP="00921E85">
      <w:pPr>
        <w:rPr>
          <w:b/>
          <w:color w:val="C00000"/>
          <w:sz w:val="28"/>
          <w:szCs w:val="28"/>
        </w:rPr>
      </w:pPr>
      <w:r w:rsidRPr="00D62BA8">
        <w:rPr>
          <w:b/>
          <w:color w:val="C00000"/>
          <w:sz w:val="28"/>
          <w:szCs w:val="28"/>
        </w:rPr>
        <w:t>Operating Values</w:t>
      </w:r>
    </w:p>
    <w:p w:rsidR="00921E85" w:rsidRPr="00921E85" w:rsidRDefault="00921E85" w:rsidP="00921E85">
      <w:pPr>
        <w:rPr>
          <w:b/>
          <w:color w:val="FF0000"/>
          <w:sz w:val="28"/>
          <w:szCs w:val="28"/>
        </w:rPr>
      </w:pPr>
    </w:p>
    <w:p w:rsidR="00921E85" w:rsidRPr="00615445" w:rsidRDefault="00921E85" w:rsidP="00921E85">
      <w:pPr>
        <w:rPr>
          <w:sz w:val="24"/>
          <w:szCs w:val="24"/>
        </w:rPr>
      </w:pPr>
      <w:r w:rsidRPr="00615445">
        <w:rPr>
          <w:sz w:val="24"/>
          <w:szCs w:val="24"/>
        </w:rPr>
        <w:t>ACC’s primary responsibility is to our members. We continually strive to develop resources and programs that respond to and anticipate member needs. To ensure that we fulfill this commitment, we have adopted the following core operating values:</w:t>
      </w:r>
    </w:p>
    <w:p w:rsidR="00921E85" w:rsidRPr="00615445" w:rsidRDefault="00921E85" w:rsidP="00921E85">
      <w:pPr>
        <w:numPr>
          <w:ilvl w:val="0"/>
          <w:numId w:val="5"/>
        </w:numPr>
        <w:rPr>
          <w:rFonts w:eastAsia="Times New Roman"/>
          <w:sz w:val="24"/>
          <w:szCs w:val="24"/>
        </w:rPr>
      </w:pPr>
      <w:r w:rsidRPr="00615445">
        <w:rPr>
          <w:rFonts w:eastAsia="Times New Roman"/>
          <w:sz w:val="24"/>
          <w:szCs w:val="24"/>
        </w:rPr>
        <w:t>Represent in-house attorneys as full and equal members of the legal profession.</w:t>
      </w:r>
    </w:p>
    <w:p w:rsidR="00921E85" w:rsidRPr="00615445" w:rsidRDefault="00921E85" w:rsidP="00921E85">
      <w:pPr>
        <w:numPr>
          <w:ilvl w:val="0"/>
          <w:numId w:val="5"/>
        </w:numPr>
        <w:rPr>
          <w:rFonts w:eastAsia="Times New Roman"/>
          <w:sz w:val="24"/>
          <w:szCs w:val="24"/>
        </w:rPr>
      </w:pPr>
      <w:r w:rsidRPr="00615445">
        <w:rPr>
          <w:rFonts w:eastAsia="Times New Roman"/>
          <w:sz w:val="24"/>
          <w:szCs w:val="24"/>
        </w:rPr>
        <w:t>Foster excellence among in-house practitioners, helping them represent their clients effectively and deliver services efficiently.</w:t>
      </w:r>
    </w:p>
    <w:p w:rsidR="00921E85" w:rsidRPr="00615445" w:rsidRDefault="00921E85" w:rsidP="00921E85">
      <w:pPr>
        <w:numPr>
          <w:ilvl w:val="0"/>
          <w:numId w:val="6"/>
        </w:numPr>
        <w:rPr>
          <w:rFonts w:eastAsia="Times New Roman"/>
          <w:sz w:val="24"/>
          <w:szCs w:val="24"/>
        </w:rPr>
      </w:pPr>
      <w:r w:rsidRPr="00615445">
        <w:rPr>
          <w:rFonts w:eastAsia="Times New Roman"/>
          <w:sz w:val="24"/>
          <w:szCs w:val="24"/>
        </w:rPr>
        <w:t>Advance the highest ethical standards governing the practice of law in a corporate setting.</w:t>
      </w:r>
    </w:p>
    <w:p w:rsidR="00921E85" w:rsidRPr="00615445" w:rsidRDefault="00921E85" w:rsidP="00921E85">
      <w:pPr>
        <w:numPr>
          <w:ilvl w:val="0"/>
          <w:numId w:val="7"/>
        </w:numPr>
        <w:rPr>
          <w:rFonts w:eastAsia="Times New Roman"/>
          <w:sz w:val="24"/>
          <w:szCs w:val="24"/>
        </w:rPr>
      </w:pPr>
      <w:r w:rsidRPr="00615445">
        <w:rPr>
          <w:rFonts w:eastAsia="Times New Roman"/>
          <w:sz w:val="24"/>
          <w:szCs w:val="24"/>
        </w:rPr>
        <w:t>Promote diversity and inclusiveness within ACC and the in-house community as a whole.</w:t>
      </w:r>
    </w:p>
    <w:p w:rsidR="00921E85" w:rsidRPr="00615445" w:rsidRDefault="00921E85" w:rsidP="00921E85">
      <w:pPr>
        <w:numPr>
          <w:ilvl w:val="0"/>
          <w:numId w:val="8"/>
        </w:numPr>
        <w:rPr>
          <w:rFonts w:eastAsia="Times New Roman"/>
          <w:sz w:val="24"/>
          <w:szCs w:val="24"/>
        </w:rPr>
      </w:pPr>
      <w:r w:rsidRPr="00615445">
        <w:rPr>
          <w:rFonts w:eastAsia="Times New Roman"/>
          <w:sz w:val="24"/>
          <w:szCs w:val="24"/>
        </w:rPr>
        <w:t>Encourage public and pro bono service.</w:t>
      </w:r>
    </w:p>
    <w:p w:rsidR="00921E85" w:rsidRPr="00615445" w:rsidRDefault="00921E85" w:rsidP="00921E85">
      <w:pPr>
        <w:numPr>
          <w:ilvl w:val="0"/>
          <w:numId w:val="9"/>
        </w:numPr>
        <w:rPr>
          <w:rFonts w:eastAsia="Times New Roman"/>
          <w:sz w:val="24"/>
          <w:szCs w:val="24"/>
        </w:rPr>
      </w:pPr>
      <w:r w:rsidRPr="00615445">
        <w:rPr>
          <w:rFonts w:eastAsia="Times New Roman"/>
          <w:sz w:val="24"/>
          <w:szCs w:val="24"/>
        </w:rPr>
        <w:t>Foster a sense of collegiality to facilitate networking and interaction among in-house counsel and foster professionalism, openness, and candor among members.</w:t>
      </w:r>
    </w:p>
    <w:p w:rsidR="00921E85" w:rsidRPr="00921E85" w:rsidRDefault="00921E85" w:rsidP="00921E85">
      <w:pPr>
        <w:rPr>
          <w:rFonts w:ascii="Lucida Handwriting" w:hAnsi="Lucida Handwriting"/>
          <w:sz w:val="28"/>
          <w:szCs w:val="28"/>
        </w:rPr>
      </w:pPr>
    </w:p>
    <w:p w:rsidR="008048CB" w:rsidRPr="00921E85" w:rsidRDefault="008048CB">
      <w:pPr>
        <w:rPr>
          <w:sz w:val="28"/>
          <w:szCs w:val="28"/>
        </w:rPr>
      </w:pPr>
    </w:p>
    <w:sectPr w:rsidR="008048CB" w:rsidRPr="00921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63507"/>
    <w:multiLevelType w:val="multilevel"/>
    <w:tmpl w:val="15CED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BBE5F00"/>
    <w:multiLevelType w:val="multilevel"/>
    <w:tmpl w:val="7D5E2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78F190C"/>
    <w:multiLevelType w:val="multilevel"/>
    <w:tmpl w:val="4CF00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94F4308"/>
    <w:multiLevelType w:val="multilevel"/>
    <w:tmpl w:val="7E9EE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9E22CAB"/>
    <w:multiLevelType w:val="multilevel"/>
    <w:tmpl w:val="D0E45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B3B65C1"/>
    <w:multiLevelType w:val="multilevel"/>
    <w:tmpl w:val="E4F89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0F36AC0"/>
    <w:multiLevelType w:val="multilevel"/>
    <w:tmpl w:val="4C6AD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14F2A3B"/>
    <w:multiLevelType w:val="multilevel"/>
    <w:tmpl w:val="BE9E2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6DD6127"/>
    <w:multiLevelType w:val="multilevel"/>
    <w:tmpl w:val="A7BA2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
  </w:num>
  <w:num w:numId="4">
    <w:abstractNumId w:val="6"/>
  </w:num>
  <w:num w:numId="5">
    <w:abstractNumId w:val="2"/>
  </w:num>
  <w:num w:numId="6">
    <w:abstractNumId w:val="7"/>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E85"/>
    <w:rsid w:val="00124538"/>
    <w:rsid w:val="00615445"/>
    <w:rsid w:val="008048CB"/>
    <w:rsid w:val="00921E85"/>
    <w:rsid w:val="00D62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467AE-5446-4D36-9071-AA4CD28C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E8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3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dc:creator>
  <cp:keywords/>
  <dc:description/>
  <cp:lastModifiedBy>Microsoft account</cp:lastModifiedBy>
  <cp:revision>2</cp:revision>
  <dcterms:created xsi:type="dcterms:W3CDTF">2015-01-17T18:25:00Z</dcterms:created>
  <dcterms:modified xsi:type="dcterms:W3CDTF">2015-01-17T18:25:00Z</dcterms:modified>
</cp:coreProperties>
</file>