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0925B" w14:textId="77777777" w:rsidR="008B009D" w:rsidRDefault="00672C40" w:rsidP="00672C40">
      <w:pPr>
        <w:jc w:val="center"/>
      </w:pPr>
      <w:bookmarkStart w:id="0" w:name="_GoBack"/>
      <w:bookmarkEnd w:id="0"/>
      <w:r>
        <w:t>MEMORANDUM</w:t>
      </w:r>
    </w:p>
    <w:p w14:paraId="2D0AFAF7" w14:textId="59ADCDA4" w:rsidR="00A70CEA" w:rsidRDefault="00881195" w:rsidP="00672C40">
      <w:r>
        <w:t xml:space="preserve">Date: </w:t>
      </w:r>
      <w:r w:rsidR="00680B02">
        <w:t>September 2</w:t>
      </w:r>
      <w:r w:rsidR="00A70CEA">
        <w:t>, 2020</w:t>
      </w:r>
    </w:p>
    <w:p w14:paraId="5F24BDE5" w14:textId="751FC0F0" w:rsidR="00A70CEA" w:rsidRDefault="00A70CEA" w:rsidP="00902C3E">
      <w:pPr>
        <w:pBdr>
          <w:bottom w:val="single" w:sz="12" w:space="1" w:color="auto"/>
        </w:pBdr>
      </w:pPr>
      <w:r>
        <w:t xml:space="preserve">Re: Teaming agreement best practices </w:t>
      </w:r>
      <w:r w:rsidR="009230BD">
        <w:t>for non-profits</w:t>
      </w:r>
    </w:p>
    <w:p w14:paraId="610AA6C9" w14:textId="31709C38" w:rsidR="0086357C" w:rsidRDefault="0086357C" w:rsidP="00672C40">
      <w:pPr>
        <w:rPr>
          <w:b/>
        </w:rPr>
      </w:pPr>
      <w:r>
        <w:rPr>
          <w:b/>
        </w:rPr>
        <w:t>Teaming Agreements</w:t>
      </w:r>
    </w:p>
    <w:p w14:paraId="00010167" w14:textId="205E6E38" w:rsidR="002A67E6" w:rsidRDefault="0086357C" w:rsidP="004316AB">
      <w:pPr>
        <w:ind w:firstLine="720"/>
      </w:pPr>
      <w:r>
        <w:t>Teaming agreements are contractual agreements</w:t>
      </w:r>
      <w:r w:rsidR="002A67E6">
        <w:t xml:space="preserve"> commonly used in the government contracting space.</w:t>
      </w:r>
      <w:r w:rsidR="00030854">
        <w:rPr>
          <w:rStyle w:val="FootnoteReference"/>
        </w:rPr>
        <w:footnoteReference w:id="1"/>
      </w:r>
      <w:r w:rsidR="002A67E6">
        <w:t xml:space="preserve"> Firms bidding on government </w:t>
      </w:r>
      <w:r w:rsidR="00D81E2E">
        <w:t>contracts</w:t>
      </w:r>
      <w:r w:rsidR="002A67E6">
        <w:t xml:space="preserve"> frequently include the services of other busin</w:t>
      </w:r>
      <w:r w:rsidR="00030854">
        <w:t>esses in project proposal</w:t>
      </w:r>
      <w:r w:rsidR="00D81E2E">
        <w:t>s</w:t>
      </w:r>
      <w:r w:rsidR="002A67E6">
        <w:t xml:space="preserve"> as a way to offer expertise or technical capacity that the prime contractor </w:t>
      </w:r>
      <w:r w:rsidR="00D81E2E">
        <w:t>could not</w:t>
      </w:r>
      <w:r w:rsidR="002A67E6">
        <w:t xml:space="preserve"> offer alone.</w:t>
      </w:r>
      <w:r w:rsidR="00030854">
        <w:rPr>
          <w:rStyle w:val="FootnoteReference"/>
        </w:rPr>
        <w:footnoteReference w:id="2"/>
      </w:r>
      <w:r w:rsidR="00DE411F">
        <w:t xml:space="preserve"> Those prim</w:t>
      </w:r>
      <w:r w:rsidR="004316AB">
        <w:t>e</w:t>
      </w:r>
      <w:r w:rsidR="00DE411F">
        <w:t xml:space="preserve"> contractors </w:t>
      </w:r>
      <w:r w:rsidR="00030854">
        <w:t xml:space="preserve">usually </w:t>
      </w:r>
      <w:r w:rsidR="004316AB">
        <w:t>encourage</w:t>
      </w:r>
      <w:r w:rsidR="00030854">
        <w:t xml:space="preserve"> other organizations to team with them with the </w:t>
      </w:r>
      <w:r w:rsidR="00263E66">
        <w:t xml:space="preserve">prospect </w:t>
      </w:r>
      <w:r w:rsidR="00030854">
        <w:t>of a future subcontract of work if the team wins the bid.</w:t>
      </w:r>
      <w:r w:rsidR="007E307A">
        <w:rPr>
          <w:rStyle w:val="FootnoteReference"/>
        </w:rPr>
        <w:footnoteReference w:id="3"/>
      </w:r>
      <w:r w:rsidR="00030854">
        <w:t xml:space="preserve"> </w:t>
      </w:r>
      <w:r w:rsidR="007E307A">
        <w:t xml:space="preserve">In the contracting space, </w:t>
      </w:r>
      <w:r w:rsidR="004316AB">
        <w:t xml:space="preserve">binding </w:t>
      </w:r>
      <w:r w:rsidR="007E307A">
        <w:t>teaming agreeme</w:t>
      </w:r>
      <w:r w:rsidR="00D81E2E">
        <w:t xml:space="preserve">nts allow the parties to </w:t>
      </w:r>
      <w:r w:rsidR="007E307A">
        <w:t>lay out the rights and responsibilities of both primary contractors and potential subcontractors</w:t>
      </w:r>
      <w:r w:rsidR="00D81E2E">
        <w:t xml:space="preserve"> during the bidding process.</w:t>
      </w:r>
      <w:r w:rsidR="00D81E2E">
        <w:rPr>
          <w:rStyle w:val="FootnoteReference"/>
        </w:rPr>
        <w:footnoteReference w:id="4"/>
      </w:r>
    </w:p>
    <w:p w14:paraId="1F8808A7" w14:textId="39A06C43" w:rsidR="001C57B3" w:rsidRPr="004316AB" w:rsidRDefault="002A67E6" w:rsidP="00CA4EEB">
      <w:pPr>
        <w:ind w:firstLine="720"/>
      </w:pPr>
      <w:r>
        <w:t>T</w:t>
      </w:r>
      <w:r w:rsidR="001C57B3">
        <w:t xml:space="preserve">eaming agreements are an established </w:t>
      </w:r>
      <w:r w:rsidR="00DE411F">
        <w:t xml:space="preserve">part of government contracting, </w:t>
      </w:r>
      <w:r w:rsidR="00030854">
        <w:t>but their use is less common in the government grant space.</w:t>
      </w:r>
      <w:r w:rsidR="00D81E2E">
        <w:rPr>
          <w:rStyle w:val="FootnoteReference"/>
        </w:rPr>
        <w:footnoteReference w:id="5"/>
      </w:r>
      <w:r w:rsidR="00030854">
        <w:t xml:space="preserve"> </w:t>
      </w:r>
      <w:r w:rsidR="001C57B3">
        <w:t xml:space="preserve">While </w:t>
      </w:r>
      <w:r w:rsidR="00A1280B">
        <w:t>most legal issues</w:t>
      </w:r>
      <w:r w:rsidR="0059722C">
        <w:t xml:space="preserve"> regarding</w:t>
      </w:r>
      <w:r w:rsidR="001C57B3">
        <w:t xml:space="preserve"> teaming in a contract situation</w:t>
      </w:r>
      <w:r w:rsidR="00A1280B">
        <w:t xml:space="preserve"> are settled</w:t>
      </w:r>
      <w:r w:rsidR="001C57B3">
        <w:t xml:space="preserve">, the potential issues of teaming in a grant situation are </w:t>
      </w:r>
      <w:r w:rsidR="004316AB">
        <w:t>mostly unresolved</w:t>
      </w:r>
      <w:r w:rsidR="001C57B3">
        <w:t>.</w:t>
      </w:r>
      <w:r w:rsidR="004316AB">
        <w:rPr>
          <w:rStyle w:val="FootnoteReference"/>
        </w:rPr>
        <w:footnoteReference w:id="6"/>
      </w:r>
      <w:r w:rsidR="001C57B3">
        <w:t xml:space="preserve"> </w:t>
      </w:r>
      <w:r w:rsidR="006507D3">
        <w:t xml:space="preserve">Informal, unenforceable teaming arrangements are common in government grants, and so while a handful of cases </w:t>
      </w:r>
      <w:r w:rsidR="00263E66">
        <w:t xml:space="preserve">address </w:t>
      </w:r>
      <w:r w:rsidR="006507D3">
        <w:t xml:space="preserve">teaming agreements for contracts, </w:t>
      </w:r>
      <w:r w:rsidR="00263E66">
        <w:t xml:space="preserve">little or </w:t>
      </w:r>
      <w:r w:rsidR="006507D3">
        <w:t xml:space="preserve">no </w:t>
      </w:r>
      <w:r w:rsidR="00E640DA">
        <w:t>case law addresses</w:t>
      </w:r>
      <w:r w:rsidR="006507D3">
        <w:t xml:space="preserve"> teaming for grants </w:t>
      </w:r>
      <w:r w:rsidR="00E640DA">
        <w:t>specifically</w:t>
      </w:r>
      <w:r w:rsidR="006507D3">
        <w:t>.</w:t>
      </w:r>
      <w:r w:rsidR="006507D3">
        <w:rPr>
          <w:rStyle w:val="FootnoteReference"/>
        </w:rPr>
        <w:footnoteReference w:id="7"/>
      </w:r>
      <w:r w:rsidR="006507D3">
        <w:t xml:space="preserve"> </w:t>
      </w:r>
      <w:r w:rsidR="001C57B3">
        <w:t>Still, the concept of teaming for government grants comes directly from</w:t>
      </w:r>
      <w:r w:rsidR="00CA4EEB">
        <w:t xml:space="preserve"> the practice in</w:t>
      </w:r>
      <w:r w:rsidR="001C57B3">
        <w:t xml:space="preserve"> </w:t>
      </w:r>
      <w:r w:rsidR="00C303E5">
        <w:t>government contracting</w:t>
      </w:r>
      <w:r w:rsidR="001C57B3">
        <w:t xml:space="preserve">, and the issues </w:t>
      </w:r>
      <w:r w:rsidR="00ED4635">
        <w:t xml:space="preserve">that arise </w:t>
      </w:r>
      <w:r w:rsidR="001C57B3">
        <w:t>are similar.</w:t>
      </w:r>
      <w:r w:rsidR="004316AB">
        <w:rPr>
          <w:rStyle w:val="FootnoteReference"/>
        </w:rPr>
        <w:footnoteReference w:id="8"/>
      </w:r>
      <w:r w:rsidR="001C57B3">
        <w:t xml:space="preserve"> Prime contractors and prime grantees (“Primes”) have similar incentives, as do Subcontractors and Subgrantees (“Subs”)</w:t>
      </w:r>
      <w:r w:rsidR="004316AB">
        <w:t xml:space="preserve"> when pursuing potential subcontracts</w:t>
      </w:r>
      <w:r w:rsidR="00CA4EEB">
        <w:t xml:space="preserve"> or </w:t>
      </w:r>
      <w:r w:rsidR="004316AB">
        <w:t>subgrants</w:t>
      </w:r>
      <w:r w:rsidR="001C57B3">
        <w:t>.</w:t>
      </w:r>
    </w:p>
    <w:p w14:paraId="1F95D6F4" w14:textId="6E4DC89B" w:rsidR="00A70CEA" w:rsidRDefault="00A70CEA" w:rsidP="00672C40">
      <w:r>
        <w:rPr>
          <w:b/>
        </w:rPr>
        <w:t xml:space="preserve">What are best practices for </w:t>
      </w:r>
      <w:r w:rsidR="009230BD">
        <w:rPr>
          <w:b/>
        </w:rPr>
        <w:t>non-profits</w:t>
      </w:r>
      <w:r>
        <w:rPr>
          <w:b/>
        </w:rPr>
        <w:t xml:space="preserve"> when </w:t>
      </w:r>
      <w:r w:rsidR="009230BD">
        <w:rPr>
          <w:b/>
        </w:rPr>
        <w:t xml:space="preserve">teaming </w:t>
      </w:r>
      <w:r w:rsidR="00C303E5">
        <w:rPr>
          <w:b/>
        </w:rPr>
        <w:t>for</w:t>
      </w:r>
      <w:r>
        <w:rPr>
          <w:b/>
        </w:rPr>
        <w:t xml:space="preserve"> government grants?</w:t>
      </w:r>
    </w:p>
    <w:p w14:paraId="26AF9103" w14:textId="5A66092D" w:rsidR="00137118" w:rsidRDefault="00DB70C1" w:rsidP="00672C40">
      <w:r>
        <w:tab/>
      </w:r>
      <w:r w:rsidR="00C03448">
        <w:t xml:space="preserve">When </w:t>
      </w:r>
      <w:r w:rsidR="009230BD">
        <w:t>bidding on</w:t>
      </w:r>
      <w:r w:rsidR="00C03448">
        <w:t xml:space="preserve"> government grants, non-profit organizations often benefit from teaming with other organizations to strengthen their bid</w:t>
      </w:r>
      <w:r w:rsidR="00D91CDB">
        <w:t>s</w:t>
      </w:r>
      <w:r w:rsidR="00C03448">
        <w:t>.</w:t>
      </w:r>
      <w:r w:rsidR="00C03448">
        <w:rPr>
          <w:rStyle w:val="FootnoteReference"/>
        </w:rPr>
        <w:footnoteReference w:id="9"/>
      </w:r>
      <w:r w:rsidR="00C03448">
        <w:t xml:space="preserve"> Teaming with organizations that have technical expertise or </w:t>
      </w:r>
      <w:r w:rsidR="00881195">
        <w:t>specialized experience</w:t>
      </w:r>
      <w:r w:rsidR="00C03448">
        <w:t xml:space="preserve"> can strengthen the </w:t>
      </w:r>
      <w:r w:rsidR="004316AB">
        <w:t>Prime’s</w:t>
      </w:r>
      <w:r w:rsidR="002D5659">
        <w:t xml:space="preserve"> </w:t>
      </w:r>
      <w:r w:rsidR="00881195">
        <w:t>bid, but doing so can also complicate the bidding process</w:t>
      </w:r>
      <w:r w:rsidR="004316AB">
        <w:t xml:space="preserve"> by introducing an element of uncertainty if the Sub’s role is not fully agreed upon</w:t>
      </w:r>
      <w:r w:rsidR="00C03448">
        <w:t>.</w:t>
      </w:r>
      <w:r w:rsidR="00137118">
        <w:rPr>
          <w:rStyle w:val="FootnoteReference"/>
        </w:rPr>
        <w:footnoteReference w:id="10"/>
      </w:r>
      <w:r w:rsidR="00C03448">
        <w:t xml:space="preserve"> </w:t>
      </w:r>
      <w:r w:rsidR="008C79FF">
        <w:t>When teaming,</w:t>
      </w:r>
      <w:r w:rsidR="00C03448">
        <w:t xml:space="preserve"> the </w:t>
      </w:r>
      <w:r w:rsidR="002A67E6">
        <w:t>Prime</w:t>
      </w:r>
      <w:r w:rsidR="00C03448">
        <w:t xml:space="preserve"> and the </w:t>
      </w:r>
      <w:r w:rsidR="004316AB">
        <w:t>Sub</w:t>
      </w:r>
      <w:r w:rsidR="00C03448">
        <w:t xml:space="preserve"> have specific </w:t>
      </w:r>
      <w:r w:rsidR="00137118">
        <w:t xml:space="preserve">needs and risks, and by understanding and addressing these issues early in the process, team </w:t>
      </w:r>
      <w:r w:rsidR="00263E66">
        <w:t xml:space="preserve">collaborators </w:t>
      </w:r>
      <w:r w:rsidR="00137118">
        <w:t>can resolve a number of issues that could disrupt the bidding process.</w:t>
      </w:r>
      <w:r w:rsidR="00030854">
        <w:rPr>
          <w:rStyle w:val="FootnoteReference"/>
        </w:rPr>
        <w:footnoteReference w:id="11"/>
      </w:r>
      <w:r w:rsidR="00137118">
        <w:t xml:space="preserve"> </w:t>
      </w:r>
    </w:p>
    <w:p w14:paraId="52642389" w14:textId="1CB59E40" w:rsidR="00A70CEA" w:rsidRDefault="00137118" w:rsidP="00137118">
      <w:pPr>
        <w:ind w:firstLine="720"/>
      </w:pPr>
      <w:r>
        <w:lastRenderedPageBreak/>
        <w:t xml:space="preserve">In the non-profit space, agreements to team are often </w:t>
      </w:r>
      <w:r w:rsidR="00263E66">
        <w:t>less formal</w:t>
      </w:r>
      <w:r>
        <w:t xml:space="preserve"> due to resource constraints.</w:t>
      </w:r>
      <w:r w:rsidR="001D570B">
        <w:t xml:space="preserve"> </w:t>
      </w:r>
      <w:r>
        <w:t xml:space="preserve">While fully executed teaming agreements are often </w:t>
      </w:r>
      <w:r w:rsidR="00263E66">
        <w:t>unworkable</w:t>
      </w:r>
      <w:r>
        <w:t xml:space="preserve">, </w:t>
      </w:r>
      <w:r w:rsidR="002D5659">
        <w:t xml:space="preserve">a </w:t>
      </w:r>
      <w:r>
        <w:t>letter of understanding or memorand</w:t>
      </w:r>
      <w:r w:rsidR="002D5659">
        <w:t>um</w:t>
      </w:r>
      <w:r>
        <w:t xml:space="preserve"> of </w:t>
      </w:r>
      <w:r w:rsidR="00F609EC">
        <w:t>understanding</w:t>
      </w:r>
      <w:r>
        <w:t xml:space="preserve"> </w:t>
      </w:r>
      <w:r w:rsidR="002D5659">
        <w:t xml:space="preserve">is </w:t>
      </w:r>
      <w:r w:rsidR="00731E20">
        <w:t xml:space="preserve">an efficient way </w:t>
      </w:r>
      <w:r>
        <w:t xml:space="preserve">to lay out the key provisions of the </w:t>
      </w:r>
      <w:r w:rsidR="00F609EC">
        <w:t>agreement</w:t>
      </w:r>
      <w:r>
        <w:t xml:space="preserve"> </w:t>
      </w:r>
      <w:r w:rsidR="00731E20">
        <w:t>and</w:t>
      </w:r>
      <w:r>
        <w:t xml:space="preserve"> provide both parties with clarity </w:t>
      </w:r>
      <w:r w:rsidR="00731E20">
        <w:t xml:space="preserve">about </w:t>
      </w:r>
      <w:r w:rsidR="009230BD">
        <w:t>their</w:t>
      </w:r>
      <w:r w:rsidR="00731E20">
        <w:t xml:space="preserve"> arrangement.</w:t>
      </w:r>
      <w:r w:rsidR="00835008">
        <w:rPr>
          <w:rStyle w:val="FootnoteReference"/>
        </w:rPr>
        <w:footnoteReference w:id="12"/>
      </w:r>
      <w:r w:rsidR="00116A87">
        <w:t xml:space="preserve"> While non-binding agreements do not pro</w:t>
      </w:r>
      <w:r w:rsidR="00AA242C">
        <w:t>vide the same level</w:t>
      </w:r>
      <w:r w:rsidR="00116A87">
        <w:t xml:space="preserve"> of </w:t>
      </w:r>
      <w:r w:rsidR="00263E66">
        <w:t xml:space="preserve">certainty </w:t>
      </w:r>
      <w:r w:rsidR="00116A87">
        <w:t xml:space="preserve">as a binding teaming agreement, they do allow Primes and Subs to establish expectations </w:t>
      </w:r>
      <w:r w:rsidR="00AA242C">
        <w:t xml:space="preserve">and can clarify that </w:t>
      </w:r>
      <w:r w:rsidR="00034206">
        <w:t xml:space="preserve">if either party backs out of the agreement they may damage the relationship with the other organization and their reputation. </w:t>
      </w:r>
      <w:r w:rsidR="00AA242C">
        <w:t xml:space="preserve"> </w:t>
      </w:r>
    </w:p>
    <w:p w14:paraId="66B410E4" w14:textId="7D5F1F8B" w:rsidR="00A70CEA" w:rsidRDefault="005468FA" w:rsidP="00672C40">
      <w:r>
        <w:rPr>
          <w:b/>
        </w:rPr>
        <w:t>Incentives</w:t>
      </w:r>
      <w:r w:rsidR="00F66F34">
        <w:rPr>
          <w:b/>
        </w:rPr>
        <w:t xml:space="preserve"> of </w:t>
      </w:r>
      <w:r w:rsidR="00DE411F">
        <w:rPr>
          <w:b/>
        </w:rPr>
        <w:t>Primes and Subs</w:t>
      </w:r>
    </w:p>
    <w:p w14:paraId="1D1D23D9" w14:textId="45DE178F" w:rsidR="00CF5507" w:rsidRDefault="002B5535" w:rsidP="00CF5507">
      <w:r>
        <w:tab/>
      </w:r>
      <w:r w:rsidR="00F66F34">
        <w:t>Prime</w:t>
      </w:r>
      <w:r w:rsidR="00DE411F">
        <w:t>s</w:t>
      </w:r>
      <w:r w:rsidR="00B75B7D">
        <w:t xml:space="preserve"> </w:t>
      </w:r>
      <w:r>
        <w:t xml:space="preserve">generally </w:t>
      </w:r>
      <w:r w:rsidR="00CB6C39">
        <w:t xml:space="preserve">(but not always) </w:t>
      </w:r>
      <w:r w:rsidR="00742E77">
        <w:t>enter the</w:t>
      </w:r>
      <w:r w:rsidR="00F609EC">
        <w:t xml:space="preserve"> relationship with more leverage</w:t>
      </w:r>
      <w:r w:rsidR="00742E77">
        <w:t xml:space="preserve"> because they are preparing the grant proposal</w:t>
      </w:r>
      <w:r w:rsidR="00683FDC">
        <w:t>s</w:t>
      </w:r>
      <w:r w:rsidR="00742E77">
        <w:t xml:space="preserve"> and will carry most of the cost</w:t>
      </w:r>
      <w:r w:rsidR="00680B02">
        <w:t>s</w:t>
      </w:r>
      <w:r w:rsidR="00742E77">
        <w:t>.</w:t>
      </w:r>
      <w:r w:rsidR="00902C3E">
        <w:rPr>
          <w:rStyle w:val="FootnoteReference"/>
        </w:rPr>
        <w:footnoteReference w:id="13"/>
      </w:r>
      <w:r w:rsidR="00BD1247">
        <w:t xml:space="preserve"> </w:t>
      </w:r>
      <w:r w:rsidR="00F609EC">
        <w:t xml:space="preserve">Primes </w:t>
      </w:r>
      <w:r>
        <w:t xml:space="preserve">want to ensure that </w:t>
      </w:r>
      <w:r w:rsidR="00F609EC">
        <w:t>potential Subs</w:t>
      </w:r>
      <w:r>
        <w:t xml:space="preserve"> will</w:t>
      </w:r>
      <w:r w:rsidR="00F66F34">
        <w:t xml:space="preserve"> not join competing bids and will</w:t>
      </w:r>
      <w:r>
        <w:t xml:space="preserve"> </w:t>
      </w:r>
      <w:r w:rsidR="00F609EC">
        <w:t xml:space="preserve">provide their services exclusively to that Prime for the duration of the </w:t>
      </w:r>
      <w:r w:rsidR="00CB6C39">
        <w:t xml:space="preserve">proposal and potential </w:t>
      </w:r>
      <w:r w:rsidR="00F609EC">
        <w:t>grant</w:t>
      </w:r>
      <w:r>
        <w:t>.</w:t>
      </w:r>
      <w:r w:rsidR="00BD1247">
        <w:rPr>
          <w:rStyle w:val="FootnoteReference"/>
        </w:rPr>
        <w:footnoteReference w:id="14"/>
      </w:r>
      <w:r w:rsidR="00137118">
        <w:t xml:space="preserve"> </w:t>
      </w:r>
      <w:r w:rsidR="00F609EC">
        <w:t>The main risk Primes face</w:t>
      </w:r>
      <w:r w:rsidR="00742E77">
        <w:t xml:space="preserve"> is that they may bind themselves to provide a certain amount of work for the </w:t>
      </w:r>
      <w:r w:rsidR="00F609EC">
        <w:t>Sub</w:t>
      </w:r>
      <w:r w:rsidR="00742E77">
        <w:t xml:space="preserve"> at a time in the bidding process where </w:t>
      </w:r>
      <w:r w:rsidR="00362EAF">
        <w:t>flexibility is important</w:t>
      </w:r>
      <w:r w:rsidR="00742E77">
        <w:t>.</w:t>
      </w:r>
      <w:r w:rsidR="00BD1247">
        <w:rPr>
          <w:rStyle w:val="FootnoteReference"/>
        </w:rPr>
        <w:footnoteReference w:id="15"/>
      </w:r>
      <w:r w:rsidR="00F609EC">
        <w:t xml:space="preserve"> </w:t>
      </w:r>
    </w:p>
    <w:p w14:paraId="23F68C4D" w14:textId="416CC44D" w:rsidR="002B4F03" w:rsidRDefault="00CF5507" w:rsidP="00CF5507">
      <w:pPr>
        <w:ind w:firstLine="720"/>
      </w:pPr>
      <w:r>
        <w:t>On the two issues of exclusivity and the promise of future work, Sub interests are in direct opposition to Prime interests</w:t>
      </w:r>
      <w:r w:rsidR="002B5535">
        <w:t>.</w:t>
      </w:r>
      <w:r w:rsidR="00030854">
        <w:rPr>
          <w:rStyle w:val="FootnoteReference"/>
        </w:rPr>
        <w:footnoteReference w:id="16"/>
      </w:r>
      <w:r w:rsidR="00BD1247">
        <w:t xml:space="preserve"> </w:t>
      </w:r>
      <w:r w:rsidR="0074718D">
        <w:t>Subs</w:t>
      </w:r>
      <w:r w:rsidR="002B5535">
        <w:t xml:space="preserve"> will generally want to avoid providing promise</w:t>
      </w:r>
      <w:r w:rsidR="00570654">
        <w:t>s</w:t>
      </w:r>
      <w:r w:rsidR="002B5535">
        <w:t xml:space="preserve"> of exclusivity while receiving promise</w:t>
      </w:r>
      <w:r w:rsidR="00570654">
        <w:t>s</w:t>
      </w:r>
      <w:r w:rsidR="002B5535">
        <w:t xml:space="preserve"> for future work that </w:t>
      </w:r>
      <w:r w:rsidR="0074718D">
        <w:t>are</w:t>
      </w:r>
      <w:r w:rsidR="002B5535">
        <w:t xml:space="preserve"> a</w:t>
      </w:r>
      <w:r w:rsidR="00BC0E71">
        <w:t xml:space="preserve">s binding on </w:t>
      </w:r>
      <w:r w:rsidR="0074718D">
        <w:t>the Prime</w:t>
      </w:r>
      <w:r w:rsidR="00570654">
        <w:t xml:space="preserve"> </w:t>
      </w:r>
      <w:r w:rsidR="00BC0E71">
        <w:t>as possible</w:t>
      </w:r>
      <w:r w:rsidR="005A074A">
        <w:t xml:space="preserve">, </w:t>
      </w:r>
      <w:r w:rsidR="00956CD9">
        <w:t>and will want to include</w:t>
      </w:r>
      <w:r w:rsidR="005A074A">
        <w:t xml:space="preserve"> a scope of work that is clear and specific</w:t>
      </w:r>
      <w:r w:rsidR="002B5535">
        <w:t>.</w:t>
      </w:r>
      <w:r w:rsidR="00BD1247">
        <w:rPr>
          <w:rStyle w:val="FootnoteReference"/>
        </w:rPr>
        <w:footnoteReference w:id="17"/>
      </w:r>
      <w:r w:rsidR="00137118">
        <w:t xml:space="preserve"> </w:t>
      </w:r>
      <w:r w:rsidR="0074718D">
        <w:t>Subs</w:t>
      </w:r>
      <w:r w:rsidR="002B5535">
        <w:t xml:space="preserve"> will generally have more leverage </w:t>
      </w:r>
      <w:r w:rsidR="008C7175">
        <w:t>to negotiate</w:t>
      </w:r>
      <w:r w:rsidR="002B5535">
        <w:t xml:space="preserve"> when they have technical capacity or key personnel that are </w:t>
      </w:r>
      <w:r w:rsidR="002B5535" w:rsidRPr="00587990">
        <w:rPr>
          <w:i/>
          <w:iCs/>
        </w:rPr>
        <w:t>crucial</w:t>
      </w:r>
      <w:r w:rsidR="002B5535">
        <w:t xml:space="preserve"> to win the grant.</w:t>
      </w:r>
      <w:r w:rsidR="00BD1247">
        <w:rPr>
          <w:rStyle w:val="FootnoteReference"/>
        </w:rPr>
        <w:footnoteReference w:id="18"/>
      </w:r>
    </w:p>
    <w:p w14:paraId="038E67EB" w14:textId="482B4B50" w:rsidR="00F609EC" w:rsidRDefault="00F609EC" w:rsidP="00672C40">
      <w:r>
        <w:tab/>
        <w:t>While the interests of Primes and S</w:t>
      </w:r>
      <w:r w:rsidR="0074718D">
        <w:t xml:space="preserve">ubs diverge </w:t>
      </w:r>
      <w:r>
        <w:t xml:space="preserve">on </w:t>
      </w:r>
      <w:r w:rsidR="00CF5507">
        <w:t>some key issues</w:t>
      </w:r>
      <w:r>
        <w:t xml:space="preserve">, their interests overlap on most issues </w:t>
      </w:r>
      <w:r w:rsidR="0074718D">
        <w:t xml:space="preserve">that arise </w:t>
      </w:r>
      <w:r>
        <w:t>in agreements to team.</w:t>
      </w:r>
      <w:r w:rsidR="0074718D">
        <w:rPr>
          <w:rStyle w:val="FootnoteReference"/>
        </w:rPr>
        <w:footnoteReference w:id="19"/>
      </w:r>
      <w:r>
        <w:t xml:space="preserve"> Both parties benefit from clarifying expectations around how the parties will act </w:t>
      </w:r>
      <w:r w:rsidR="0074718D">
        <w:t>during the bidding process</w:t>
      </w:r>
      <w:r>
        <w:t xml:space="preserve"> on issues such as confidentiality, intellectual property, and proposal preparation</w:t>
      </w:r>
      <w:r w:rsidR="0074718D">
        <w:t>.</w:t>
      </w:r>
      <w:r w:rsidR="0074718D">
        <w:rPr>
          <w:rStyle w:val="FootnoteReference"/>
        </w:rPr>
        <w:footnoteReference w:id="20"/>
      </w:r>
      <w:r w:rsidR="0074718D">
        <w:t xml:space="preserve"> Simply </w:t>
      </w:r>
      <w:r w:rsidR="00D743AF">
        <w:t>expressing</w:t>
      </w:r>
      <w:r w:rsidR="0074718D">
        <w:t xml:space="preserve"> </w:t>
      </w:r>
      <w:r w:rsidR="00CB6C39">
        <w:t xml:space="preserve">expectations </w:t>
      </w:r>
      <w:r w:rsidR="00D743AF">
        <w:t xml:space="preserve">in writing </w:t>
      </w:r>
      <w:r w:rsidR="0074718D">
        <w:t xml:space="preserve">can provide some assurance that </w:t>
      </w:r>
      <w:r w:rsidR="007673FB">
        <w:t>the parties understand each other</w:t>
      </w:r>
      <w:r w:rsidR="0074718D">
        <w:t>, even if those provisions are not necessarily binding.</w:t>
      </w:r>
    </w:p>
    <w:p w14:paraId="4FCB51C3" w14:textId="77777777" w:rsidR="00A70CEA" w:rsidRDefault="00A70CEA" w:rsidP="00672C40">
      <w:r>
        <w:rPr>
          <w:b/>
        </w:rPr>
        <w:t xml:space="preserve"> Enforceability issues</w:t>
      </w:r>
    </w:p>
    <w:p w14:paraId="460C8320" w14:textId="4341DA4D" w:rsidR="00A70CEA" w:rsidRPr="000529E6" w:rsidRDefault="009F609F" w:rsidP="00672C40">
      <w:r>
        <w:tab/>
      </w:r>
      <w:r w:rsidR="00094579">
        <w:t>Courts generally regard t</w:t>
      </w:r>
      <w:r>
        <w:t xml:space="preserve">eaming agreements and </w:t>
      </w:r>
      <w:r w:rsidR="005468FA">
        <w:t>similar</w:t>
      </w:r>
      <w:r>
        <w:t xml:space="preserve"> </w:t>
      </w:r>
      <w:r w:rsidR="00AA3BEF">
        <w:t>documents</w:t>
      </w:r>
      <w:r>
        <w:t xml:space="preserve"> as “agreements to agree” and hold </w:t>
      </w:r>
      <w:r w:rsidR="00094579">
        <w:t>these agreements</w:t>
      </w:r>
      <w:r>
        <w:t xml:space="preserve"> to be unenforceable, with the exception of a few key provisions.</w:t>
      </w:r>
      <w:r w:rsidR="002F2985">
        <w:rPr>
          <w:rStyle w:val="FootnoteReference"/>
        </w:rPr>
        <w:footnoteReference w:id="21"/>
      </w:r>
      <w:r>
        <w:t xml:space="preserve"> On their own, teaming agreements do not </w:t>
      </w:r>
      <w:r w:rsidR="00570654">
        <w:t xml:space="preserve">typically </w:t>
      </w:r>
      <w:r>
        <w:t xml:space="preserve">result in an enforceable promise for the </w:t>
      </w:r>
      <w:r w:rsidR="0074718D">
        <w:t>Prime</w:t>
      </w:r>
      <w:r>
        <w:t xml:space="preserve"> and </w:t>
      </w:r>
      <w:r w:rsidR="0074718D">
        <w:t>Sub</w:t>
      </w:r>
      <w:r>
        <w:t xml:space="preserve"> to </w:t>
      </w:r>
      <w:r w:rsidR="003A5729">
        <w:t>work</w:t>
      </w:r>
      <w:r>
        <w:t xml:space="preserve"> together </w:t>
      </w:r>
      <w:r w:rsidR="000529E6">
        <w:t>if</w:t>
      </w:r>
      <w:r w:rsidR="00094579">
        <w:t xml:space="preserve"> the bid </w:t>
      </w:r>
      <w:r w:rsidR="000529E6">
        <w:t>is</w:t>
      </w:r>
      <w:r w:rsidR="00094579">
        <w:t xml:space="preserve"> successful</w:t>
      </w:r>
      <w:r>
        <w:t>.</w:t>
      </w:r>
      <w:r w:rsidR="002F2985">
        <w:rPr>
          <w:rStyle w:val="FootnoteReference"/>
        </w:rPr>
        <w:footnoteReference w:id="22"/>
      </w:r>
      <w:r w:rsidR="007477EF">
        <w:t xml:space="preserve"> </w:t>
      </w:r>
      <w:r w:rsidR="0081161D">
        <w:t>In the context of government contracting, p</w:t>
      </w:r>
      <w:r w:rsidR="000529E6">
        <w:t xml:space="preserve">rovisions </w:t>
      </w:r>
      <w:r w:rsidR="000529E6">
        <w:rPr>
          <w:i/>
        </w:rPr>
        <w:t>requiring</w:t>
      </w:r>
      <w:r w:rsidR="000529E6">
        <w:t xml:space="preserve"> the parties to agree to a future subcontract are </w:t>
      </w:r>
      <w:r w:rsidR="00CB6C39">
        <w:t xml:space="preserve">generally </w:t>
      </w:r>
      <w:r w:rsidR="000529E6">
        <w:t>unenforceable</w:t>
      </w:r>
      <w:r w:rsidR="00D803C9">
        <w:t xml:space="preserve">, </w:t>
      </w:r>
      <w:r w:rsidR="003D1E11">
        <w:t xml:space="preserve">but </w:t>
      </w:r>
      <w:r w:rsidR="000529E6">
        <w:t xml:space="preserve">courts have upheld a </w:t>
      </w:r>
      <w:r w:rsidR="000529E6">
        <w:lastRenderedPageBreak/>
        <w:t xml:space="preserve">limited duty requiring the parties to negotiate </w:t>
      </w:r>
      <w:r w:rsidR="0081161D">
        <w:t xml:space="preserve">in good </w:t>
      </w:r>
      <w:r w:rsidR="00742E77">
        <w:t>faith</w:t>
      </w:r>
      <w:r w:rsidR="0081161D">
        <w:t xml:space="preserve"> </w:t>
      </w:r>
      <w:r w:rsidR="00742E77">
        <w:t>where</w:t>
      </w:r>
      <w:r w:rsidR="0081161D">
        <w:t xml:space="preserve"> the parties had previously agreed </w:t>
      </w:r>
      <w:r w:rsidR="00742E77">
        <w:t>to do so in the teaming agreement.</w:t>
      </w:r>
      <w:r w:rsidR="003D1E11">
        <w:rPr>
          <w:rStyle w:val="FootnoteReference"/>
        </w:rPr>
        <w:footnoteReference w:id="23"/>
      </w:r>
      <w:r w:rsidR="00742E77">
        <w:t xml:space="preserve"> </w:t>
      </w:r>
      <w:r w:rsidR="0081161D">
        <w:t xml:space="preserve">However, </w:t>
      </w:r>
      <w:r w:rsidR="00881195">
        <w:t>showing</w:t>
      </w:r>
      <w:r w:rsidR="0081161D">
        <w:t xml:space="preserve"> a breach or damages in this situation is difficult, because the only enforceable requirement is that the parties attempt </w:t>
      </w:r>
      <w:r w:rsidR="00881195">
        <w:t xml:space="preserve">good faith </w:t>
      </w:r>
      <w:r w:rsidR="0081161D">
        <w:t>negotiations.</w:t>
      </w:r>
      <w:r w:rsidR="002F2985">
        <w:rPr>
          <w:rStyle w:val="FootnoteReference"/>
        </w:rPr>
        <w:footnoteReference w:id="24"/>
      </w:r>
      <w:r w:rsidR="0081161D">
        <w:t xml:space="preserve"> </w:t>
      </w:r>
    </w:p>
    <w:p w14:paraId="3F80E84A" w14:textId="3FF51D65" w:rsidR="000529E6" w:rsidRDefault="00094579" w:rsidP="00672C40">
      <w:r>
        <w:tab/>
      </w:r>
      <w:r w:rsidR="007477EF">
        <w:t>Primes should understand that even though scope of work provisions or promises to negotiate a future subcontract</w:t>
      </w:r>
      <w:r w:rsidR="00D743AF">
        <w:t>/subgrant</w:t>
      </w:r>
      <w:r w:rsidR="007477EF">
        <w:t xml:space="preserve"> may not be </w:t>
      </w:r>
      <w:r w:rsidR="00CB6C39">
        <w:t>enforceable</w:t>
      </w:r>
      <w:r w:rsidR="007477EF">
        <w:t xml:space="preserve">, </w:t>
      </w:r>
      <w:r w:rsidR="00D743AF">
        <w:t xml:space="preserve">those provisions can still </w:t>
      </w:r>
      <w:r w:rsidR="007673FB">
        <w:t>shape</w:t>
      </w:r>
      <w:r w:rsidR="00D743AF">
        <w:t xml:space="preserve"> </w:t>
      </w:r>
      <w:r w:rsidR="007673FB">
        <w:t>Sub</w:t>
      </w:r>
      <w:r w:rsidR="00D743AF">
        <w:t xml:space="preserve"> expectations post-award.</w:t>
      </w:r>
      <w:r w:rsidR="00D743AF">
        <w:rPr>
          <w:rStyle w:val="FootnoteReference"/>
        </w:rPr>
        <w:footnoteReference w:id="25"/>
      </w:r>
      <w:r w:rsidR="00D743AF">
        <w:t xml:space="preserve"> T</w:t>
      </w:r>
      <w:r w:rsidR="002F2985">
        <w:t>eaming agreements</w:t>
      </w:r>
      <w:r w:rsidR="000529E6">
        <w:t xml:space="preserve"> can</w:t>
      </w:r>
      <w:r w:rsidR="002F2985">
        <w:t xml:space="preserve"> also</w:t>
      </w:r>
      <w:r w:rsidR="000529E6">
        <w:t xml:space="preserve"> include enforceable provisions governing the behavior of the parties during the bidding process.</w:t>
      </w:r>
      <w:r w:rsidR="002F2985">
        <w:rPr>
          <w:rStyle w:val="FootnoteReference"/>
        </w:rPr>
        <w:footnoteReference w:id="26"/>
      </w:r>
      <w:r w:rsidR="000529E6">
        <w:t xml:space="preserve"> </w:t>
      </w:r>
      <w:r w:rsidR="00AA3BEF">
        <w:t>For example</w:t>
      </w:r>
      <w:r w:rsidR="000529E6">
        <w:t xml:space="preserve">, </w:t>
      </w:r>
      <w:r w:rsidR="00AA3BEF">
        <w:t xml:space="preserve">provisions requiring the </w:t>
      </w:r>
      <w:r w:rsidR="0074718D">
        <w:t>Prime</w:t>
      </w:r>
      <w:r w:rsidR="00AA3BEF">
        <w:t xml:space="preserve"> to submit a proposal identifying the parties or exclusivity provisions on the </w:t>
      </w:r>
      <w:r w:rsidR="0074718D">
        <w:t>Sub</w:t>
      </w:r>
      <w:r w:rsidR="00AA3BEF">
        <w:t xml:space="preserve"> may be enforceable, so long as</w:t>
      </w:r>
      <w:r w:rsidR="0074718D">
        <w:t xml:space="preserve"> the parties intended those provisions to be binding and stated that clearly in the agreement</w:t>
      </w:r>
      <w:r w:rsidR="000529E6">
        <w:t>.</w:t>
      </w:r>
      <w:r w:rsidR="000529E6">
        <w:rPr>
          <w:rStyle w:val="FootnoteReference"/>
        </w:rPr>
        <w:footnoteReference w:id="27"/>
      </w:r>
      <w:r w:rsidR="000529E6">
        <w:t xml:space="preserve"> </w:t>
      </w:r>
    </w:p>
    <w:p w14:paraId="690F41EE" w14:textId="454605FF" w:rsidR="00A70CEA" w:rsidRDefault="002E2E6B" w:rsidP="00672C40">
      <w:r>
        <w:rPr>
          <w:b/>
        </w:rPr>
        <w:t>Teaming</w:t>
      </w:r>
      <w:r w:rsidR="009E458F">
        <w:rPr>
          <w:b/>
        </w:rPr>
        <w:t xml:space="preserve"> agreements from least to most formal</w:t>
      </w:r>
    </w:p>
    <w:p w14:paraId="09614977" w14:textId="7F6CCEA9" w:rsidR="00A70CEA" w:rsidRDefault="002F2985" w:rsidP="00672C40">
      <w:r>
        <w:tab/>
      </w:r>
      <w:r w:rsidR="00A40040">
        <w:t>A</w:t>
      </w:r>
      <w:r w:rsidR="00541BFC">
        <w:t xml:space="preserve">greements to team can range from informal communications to fully executed </w:t>
      </w:r>
      <w:r w:rsidR="00A23FF7">
        <w:t xml:space="preserve">highly formal </w:t>
      </w:r>
      <w:r w:rsidR="00541BFC">
        <w:t xml:space="preserve">teaming agreements. </w:t>
      </w:r>
      <w:r w:rsidR="00CD004C">
        <w:t>I</w:t>
      </w:r>
      <w:r w:rsidR="00464832">
        <w:t xml:space="preserve">nformal agreements </w:t>
      </w:r>
      <w:r w:rsidR="007673FB">
        <w:t>are</w:t>
      </w:r>
      <w:r w:rsidR="00464832">
        <w:t xml:space="preserve"> more efficient </w:t>
      </w:r>
      <w:r w:rsidR="007673FB">
        <w:t xml:space="preserve">to establish </w:t>
      </w:r>
      <w:r w:rsidR="00905BFB">
        <w:t xml:space="preserve">but provide less </w:t>
      </w:r>
      <w:r w:rsidR="00A23FF7">
        <w:t>certainty</w:t>
      </w:r>
      <w:r w:rsidR="00905BFB">
        <w:t xml:space="preserve">, </w:t>
      </w:r>
      <w:r w:rsidR="00570654">
        <w:t xml:space="preserve">which </w:t>
      </w:r>
      <w:r w:rsidR="00A23FF7">
        <w:t xml:space="preserve">may be </w:t>
      </w:r>
      <w:r w:rsidR="00905BFB">
        <w:t xml:space="preserve">especially </w:t>
      </w:r>
      <w:r w:rsidR="00570654">
        <w:t xml:space="preserve">important </w:t>
      </w:r>
      <w:r w:rsidR="00905BFB">
        <w:t xml:space="preserve">when teaming for high-value grants. </w:t>
      </w:r>
      <w:r w:rsidR="004F4637">
        <w:t xml:space="preserve">Full teaming agreements </w:t>
      </w:r>
      <w:r w:rsidR="00680B02">
        <w:t xml:space="preserve">may be </w:t>
      </w:r>
      <w:r w:rsidR="004F4637">
        <w:t xml:space="preserve">generally </w:t>
      </w:r>
      <w:r w:rsidR="00A23FF7">
        <w:t xml:space="preserve">unworkable </w:t>
      </w:r>
      <w:r w:rsidR="004F4637">
        <w:t xml:space="preserve">except in unusual </w:t>
      </w:r>
      <w:r w:rsidR="00680B02">
        <w:t xml:space="preserve">grants </w:t>
      </w:r>
      <w:r w:rsidR="004F4637">
        <w:t>situations</w:t>
      </w:r>
      <w:r w:rsidR="00E05B86">
        <w:t>. A</w:t>
      </w:r>
      <w:r w:rsidR="00F17746">
        <w:t xml:space="preserve"> full teaming agreement does not provide much more </w:t>
      </w:r>
      <w:r w:rsidR="00A23FF7">
        <w:t xml:space="preserve">certainty </w:t>
      </w:r>
      <w:r w:rsidR="00F17746">
        <w:t xml:space="preserve">than an </w:t>
      </w:r>
      <w:r w:rsidR="00E05B86">
        <w:t>MOU on key issues but</w:t>
      </w:r>
      <w:r w:rsidR="006E2092">
        <w:t xml:space="preserve"> can bind the parties during the bidding process.</w:t>
      </w:r>
      <w:r w:rsidR="00024001">
        <w:rPr>
          <w:rStyle w:val="FootnoteReference"/>
        </w:rPr>
        <w:footnoteReference w:id="28"/>
      </w:r>
      <w:r w:rsidR="006E2092">
        <w:t xml:space="preserve"> For that reason, negotiating and establishing a </w:t>
      </w:r>
      <w:r w:rsidR="00A23FF7">
        <w:t xml:space="preserve">highly formal </w:t>
      </w:r>
      <w:r w:rsidR="006E2092">
        <w:t xml:space="preserve">teaming agreement is usually a more </w:t>
      </w:r>
      <w:r w:rsidR="00A23FF7">
        <w:t>complex and costly</w:t>
      </w:r>
      <w:r w:rsidR="006E2092">
        <w:t xml:space="preserve"> process. </w:t>
      </w:r>
      <w:r w:rsidR="004F0EDB">
        <w:t>See the attached Letter of Understanding and Memorandum of Understanding template</w:t>
      </w:r>
      <w:r w:rsidR="002B4F03">
        <w:t>s</w:t>
      </w:r>
      <w:r w:rsidR="004F0EDB">
        <w:t>.</w:t>
      </w:r>
    </w:p>
    <w:p w14:paraId="57781C57" w14:textId="131AD685" w:rsidR="00905BFB" w:rsidRDefault="00905BFB" w:rsidP="00672C40">
      <w:r>
        <w:tab/>
      </w:r>
      <w:r w:rsidRPr="00564B51">
        <w:rPr>
          <w:u w:val="single"/>
        </w:rPr>
        <w:t>Letters of Understanding</w:t>
      </w:r>
      <w:r>
        <w:t xml:space="preserve"> are the least formal way of establishing a team</w:t>
      </w:r>
      <w:r w:rsidR="002E1DF2">
        <w:t>ing arrangement</w:t>
      </w:r>
      <w:r w:rsidR="005E7B47">
        <w:t>.</w:t>
      </w:r>
      <w:r w:rsidR="007B6C17">
        <w:rPr>
          <w:rStyle w:val="FootnoteReference"/>
        </w:rPr>
        <w:footnoteReference w:id="29"/>
      </w:r>
      <w:r w:rsidR="005E7B47">
        <w:t xml:space="preserve"> </w:t>
      </w:r>
      <w:r w:rsidR="00342696">
        <w:t xml:space="preserve">Letters of Understanding </w:t>
      </w:r>
      <w:r w:rsidR="002B4F03">
        <w:t>lay out the preliminary terms of an agreement</w:t>
      </w:r>
      <w:r w:rsidR="005E7B47">
        <w:t>, identify the part</w:t>
      </w:r>
      <w:r w:rsidR="00FF5A39">
        <w:t>ies and the</w:t>
      </w:r>
      <w:r w:rsidR="007A73EC">
        <w:t xml:space="preserve"> target program, and </w:t>
      </w:r>
      <w:r w:rsidR="0074718D">
        <w:t>may</w:t>
      </w:r>
      <w:r w:rsidR="007A73EC">
        <w:t xml:space="preserve"> </w:t>
      </w:r>
      <w:r w:rsidR="00142BF1">
        <w:t xml:space="preserve">include </w:t>
      </w:r>
      <w:r w:rsidR="007A73EC">
        <w:t>an agreement to negotiate a more binding teaming agreement or subcontract if the bid is successful.</w:t>
      </w:r>
      <w:r w:rsidR="00342696">
        <w:rPr>
          <w:rStyle w:val="FootnoteReference"/>
        </w:rPr>
        <w:footnoteReference w:id="30"/>
      </w:r>
      <w:r w:rsidR="007A73EC">
        <w:t xml:space="preserve"> For nonprofits</w:t>
      </w:r>
      <w:r w:rsidR="00DF4177">
        <w:t xml:space="preserve">, this </w:t>
      </w:r>
      <w:r w:rsidR="00570654">
        <w:t xml:space="preserve">should probably be </w:t>
      </w:r>
      <w:r w:rsidR="00DF4177">
        <w:t>the most common teaming arrangement used, and can often be in the form of an email exchange.</w:t>
      </w:r>
    </w:p>
    <w:p w14:paraId="26DD758F" w14:textId="4C2FDEE8" w:rsidR="00DF4177" w:rsidRDefault="00DF4177" w:rsidP="00672C40">
      <w:r>
        <w:tab/>
      </w:r>
      <w:r w:rsidRPr="00564B51">
        <w:rPr>
          <w:u w:val="single"/>
        </w:rPr>
        <w:t>Memorand</w:t>
      </w:r>
      <w:r w:rsidR="00D360EC">
        <w:rPr>
          <w:u w:val="single"/>
        </w:rPr>
        <w:t>a</w:t>
      </w:r>
      <w:r w:rsidRPr="00564B51">
        <w:rPr>
          <w:u w:val="single"/>
        </w:rPr>
        <w:t xml:space="preserve"> of Understanding</w:t>
      </w:r>
      <w:r>
        <w:t xml:space="preserve"> </w:t>
      </w:r>
      <w:r w:rsidR="007B6C17">
        <w:t>(MOU</w:t>
      </w:r>
      <w:r w:rsidR="00521FC7">
        <w:t>s</w:t>
      </w:r>
      <w:r w:rsidR="007B6C17">
        <w:t xml:space="preserve">) describe </w:t>
      </w:r>
      <w:r w:rsidR="00CE0AA2">
        <w:t>the parties’</w:t>
      </w:r>
      <w:r w:rsidR="007B6C17">
        <w:t xml:space="preserve"> understanding </w:t>
      </w:r>
      <w:r w:rsidR="00CE0AA2">
        <w:t xml:space="preserve">of </w:t>
      </w:r>
      <w:r w:rsidR="007B6C17">
        <w:t xml:space="preserve">certain key terms (such as exclusivity language </w:t>
      </w:r>
      <w:r w:rsidR="00D360EC">
        <w:t>or expectations of confidentiality</w:t>
      </w:r>
      <w:r w:rsidR="007B6C17">
        <w:t>) without the level of detail found in a teaming agreement.</w:t>
      </w:r>
      <w:r w:rsidR="007B6C17">
        <w:rPr>
          <w:rStyle w:val="FootnoteReference"/>
        </w:rPr>
        <w:footnoteReference w:id="31"/>
      </w:r>
      <w:r w:rsidR="007B6C17">
        <w:t xml:space="preserve"> </w:t>
      </w:r>
      <w:r w:rsidR="00142BF1">
        <w:t xml:space="preserve">MOUs allow the parties to agree to a robust framework </w:t>
      </w:r>
      <w:r w:rsidR="0074718D">
        <w:t>of</w:t>
      </w:r>
      <w:r w:rsidR="00142BF1">
        <w:t xml:space="preserve"> </w:t>
      </w:r>
      <w:r w:rsidR="00E05B86">
        <w:t xml:space="preserve">expectations for </w:t>
      </w:r>
      <w:r w:rsidR="0074718D">
        <w:t>team behavior</w:t>
      </w:r>
      <w:r w:rsidR="00142BF1">
        <w:t xml:space="preserve">, but are </w:t>
      </w:r>
      <w:r w:rsidR="00E05B86">
        <w:t>generally non-binding and allow the parties to be flexible in their arrangements</w:t>
      </w:r>
      <w:r w:rsidR="00142BF1">
        <w:t>.</w:t>
      </w:r>
      <w:r w:rsidR="00142BF1">
        <w:rPr>
          <w:rStyle w:val="FootnoteReference"/>
        </w:rPr>
        <w:footnoteReference w:id="32"/>
      </w:r>
      <w:r w:rsidR="00142BF1">
        <w:t xml:space="preserve"> </w:t>
      </w:r>
      <w:r w:rsidR="00521FC7">
        <w:lastRenderedPageBreak/>
        <w:t>MOUs can</w:t>
      </w:r>
      <w:r w:rsidR="00EF7460">
        <w:t xml:space="preserve"> include binding provisions, if the intent of the parties is clear</w:t>
      </w:r>
      <w:r w:rsidR="00521FC7">
        <w:t>.</w:t>
      </w:r>
      <w:r w:rsidR="00521FC7">
        <w:rPr>
          <w:rStyle w:val="FootnoteReference"/>
        </w:rPr>
        <w:footnoteReference w:id="33"/>
      </w:r>
      <w:r w:rsidR="00521FC7">
        <w:t xml:space="preserve"> </w:t>
      </w:r>
      <w:r w:rsidR="007B6C17">
        <w:t>For most grant situations, a MOU is sufficient for the needs of non-profits.</w:t>
      </w:r>
    </w:p>
    <w:p w14:paraId="0354396F" w14:textId="4CB61507" w:rsidR="007B6C17" w:rsidRDefault="007B6C17" w:rsidP="00672C40">
      <w:r>
        <w:tab/>
      </w:r>
      <w:r w:rsidRPr="00564B51">
        <w:rPr>
          <w:u w:val="single"/>
        </w:rPr>
        <w:t>Teaming Agreements</w:t>
      </w:r>
      <w:r>
        <w:t xml:space="preserve"> are the most formal </w:t>
      </w:r>
      <w:r w:rsidR="00D40CC1">
        <w:t xml:space="preserve">and binding </w:t>
      </w:r>
      <w:r>
        <w:t xml:space="preserve">pre-contract </w:t>
      </w:r>
      <w:r w:rsidR="00564B51">
        <w:t>arrangement.</w:t>
      </w:r>
      <w:r w:rsidR="000E4F7A">
        <w:rPr>
          <w:rStyle w:val="FootnoteReference"/>
        </w:rPr>
        <w:footnoteReference w:id="34"/>
      </w:r>
      <w:r w:rsidR="00CE0AA2">
        <w:t xml:space="preserve"> Teaming a</w:t>
      </w:r>
      <w:r w:rsidR="00564B51">
        <w:t xml:space="preserve">greements </w:t>
      </w:r>
      <w:r w:rsidR="0074718D">
        <w:t>establish a binding</w:t>
      </w:r>
      <w:r w:rsidR="00AE2DDB">
        <w:t xml:space="preserve"> framework for how each party will act during the bidding process, and </w:t>
      </w:r>
      <w:r w:rsidR="00142BF1">
        <w:t xml:space="preserve">are useful in situations where issues like </w:t>
      </w:r>
      <w:r w:rsidR="00AE2DDB">
        <w:t>confidentiality, intellectual property rights</w:t>
      </w:r>
      <w:r w:rsidR="00142BF1">
        <w:t xml:space="preserve">, or the proposed scope of work are particularly </w:t>
      </w:r>
      <w:r w:rsidR="00680B02">
        <w:t xml:space="preserve">large or </w:t>
      </w:r>
      <w:r w:rsidR="00142BF1">
        <w:t>complex</w:t>
      </w:r>
      <w:r w:rsidR="00564B51">
        <w:t>.</w:t>
      </w:r>
      <w:r w:rsidR="000E4F7A">
        <w:rPr>
          <w:rStyle w:val="FootnoteReference"/>
        </w:rPr>
        <w:footnoteReference w:id="35"/>
      </w:r>
      <w:r w:rsidR="00564B51">
        <w:t xml:space="preserve"> For non-profits pursuing government grants, teaming agreements are only necessary in the largest and most complex situations.</w:t>
      </w:r>
    </w:p>
    <w:p w14:paraId="564D5CE9" w14:textId="4B1717BE" w:rsidR="000E4F7A" w:rsidRDefault="000E4F7A" w:rsidP="00672C40">
      <w:r>
        <w:tab/>
      </w:r>
      <w:r w:rsidR="003A317A">
        <w:t xml:space="preserve">Because every bidding process is unique, the level of formality appropriate for each situation </w:t>
      </w:r>
      <w:r w:rsidR="008E5ECD">
        <w:t xml:space="preserve">depends on the </w:t>
      </w:r>
      <w:proofErr w:type="gramStart"/>
      <w:r w:rsidR="008E5ECD">
        <w:t>particular circumstances</w:t>
      </w:r>
      <w:proofErr w:type="gramEnd"/>
      <w:r w:rsidR="008E5ECD">
        <w:t xml:space="preserve"> of the </w:t>
      </w:r>
      <w:r w:rsidR="0059722C">
        <w:t>parties</w:t>
      </w:r>
      <w:r w:rsidR="00B230E9">
        <w:t>. In general</w:t>
      </w:r>
      <w:r w:rsidR="003A317A">
        <w:t>, s</w:t>
      </w:r>
      <w:r w:rsidR="00014E2C">
        <w:t>everal factors determine which method of documentation is appropria</w:t>
      </w:r>
      <w:r w:rsidR="003A317A">
        <w:t>te for a specific situation</w:t>
      </w:r>
      <w:r w:rsidR="00014E2C">
        <w:t>:</w:t>
      </w:r>
    </w:p>
    <w:p w14:paraId="602F28F0" w14:textId="2BBF745D" w:rsidR="00014E2C" w:rsidRDefault="00014E2C" w:rsidP="00014E2C">
      <w:pPr>
        <w:ind w:left="720"/>
      </w:pPr>
      <w:r w:rsidRPr="00014E2C">
        <w:rPr>
          <w:u w:val="single"/>
        </w:rPr>
        <w:t>The size of the grant at stake</w:t>
      </w:r>
      <w:r w:rsidR="003A317A">
        <w:t xml:space="preserve"> -</w:t>
      </w:r>
      <w:r>
        <w:t xml:space="preserve"> for larger grants, each </w:t>
      </w:r>
      <w:r w:rsidR="0059722C">
        <w:t>party</w:t>
      </w:r>
      <w:r>
        <w:t xml:space="preserve"> will necessarily want stronger assurances that the other </w:t>
      </w:r>
      <w:r w:rsidR="0059722C">
        <w:t>parties</w:t>
      </w:r>
      <w:r>
        <w:t xml:space="preserve"> will act as agreed.</w:t>
      </w:r>
    </w:p>
    <w:p w14:paraId="0C42682A" w14:textId="306E038D" w:rsidR="00014E2C" w:rsidRDefault="00014E2C" w:rsidP="00014E2C">
      <w:pPr>
        <w:ind w:left="720"/>
      </w:pPr>
      <w:r w:rsidRPr="00014E2C">
        <w:rPr>
          <w:u w:val="single"/>
        </w:rPr>
        <w:t>T</w:t>
      </w:r>
      <w:r>
        <w:rPr>
          <w:u w:val="single"/>
        </w:rPr>
        <w:t xml:space="preserve">he importance of the potential </w:t>
      </w:r>
      <w:r w:rsidR="00D360EC">
        <w:rPr>
          <w:u w:val="single"/>
        </w:rPr>
        <w:t>Sub</w:t>
      </w:r>
      <w:r w:rsidR="00D360EC" w:rsidRPr="00014E2C">
        <w:rPr>
          <w:u w:val="single"/>
        </w:rPr>
        <w:t xml:space="preserve"> </w:t>
      </w:r>
      <w:r w:rsidRPr="00014E2C">
        <w:rPr>
          <w:u w:val="single"/>
        </w:rPr>
        <w:t>to the project</w:t>
      </w:r>
      <w:r w:rsidR="003A317A">
        <w:t xml:space="preserve"> -</w:t>
      </w:r>
      <w:r>
        <w:t xml:space="preserve"> if the </w:t>
      </w:r>
      <w:r w:rsidR="00D360EC">
        <w:t xml:space="preserve">Sub </w:t>
      </w:r>
      <w:r>
        <w:t xml:space="preserve">is crucial to winning the bid, the </w:t>
      </w:r>
      <w:r w:rsidR="006E2092">
        <w:t>Prime</w:t>
      </w:r>
      <w:r>
        <w:t xml:space="preserve"> will want the security of a</w:t>
      </w:r>
      <w:r w:rsidR="008E5ECD">
        <w:t xml:space="preserve"> </w:t>
      </w:r>
      <w:r w:rsidR="004F0EDB">
        <w:t xml:space="preserve">binding exclusivity clause to prevent the </w:t>
      </w:r>
      <w:r w:rsidR="003A317A">
        <w:t>critical</w:t>
      </w:r>
      <w:r w:rsidR="004F0EDB">
        <w:t xml:space="preserve"> team member from offering their services to competing bids.</w:t>
      </w:r>
      <w:r w:rsidR="004F0EDB">
        <w:rPr>
          <w:rStyle w:val="FootnoteReference"/>
        </w:rPr>
        <w:footnoteReference w:id="36"/>
      </w:r>
    </w:p>
    <w:p w14:paraId="6AA2D917" w14:textId="3CD40E16" w:rsidR="00014E2C" w:rsidRDefault="00D360EC" w:rsidP="00014E2C">
      <w:pPr>
        <w:ind w:left="720"/>
      </w:pPr>
      <w:r>
        <w:rPr>
          <w:u w:val="single"/>
        </w:rPr>
        <w:t>The proposal</w:t>
      </w:r>
      <w:r w:rsidR="0049683E">
        <w:rPr>
          <w:u w:val="single"/>
        </w:rPr>
        <w:t>-</w:t>
      </w:r>
      <w:r>
        <w:rPr>
          <w:u w:val="single"/>
        </w:rPr>
        <w:t>support a Sub may provide</w:t>
      </w:r>
      <w:r w:rsidRPr="00D360EC">
        <w:t xml:space="preserve"> -</w:t>
      </w:r>
      <w:r>
        <w:t xml:space="preserve"> i</w:t>
      </w:r>
      <w:r w:rsidR="004F0EDB">
        <w:t xml:space="preserve">f the </w:t>
      </w:r>
      <w:r w:rsidR="006E2092">
        <w:t>Prime</w:t>
      </w:r>
      <w:r w:rsidR="00014E2C">
        <w:t xml:space="preserve"> is relyi</w:t>
      </w:r>
      <w:r w:rsidR="008E5ECD">
        <w:t xml:space="preserve">ng on the </w:t>
      </w:r>
      <w:r w:rsidR="006E2092">
        <w:t>S</w:t>
      </w:r>
      <w:r w:rsidR="008E5ECD">
        <w:t>ub to contribute material</w:t>
      </w:r>
      <w:r>
        <w:t>s</w:t>
      </w:r>
      <w:r w:rsidR="008E5ECD">
        <w:t xml:space="preserve"> </w:t>
      </w:r>
      <w:r>
        <w:t>to</w:t>
      </w:r>
      <w:r w:rsidR="008E5ECD">
        <w:t xml:space="preserve"> the bid</w:t>
      </w:r>
      <w:r w:rsidR="00014E2C">
        <w:t xml:space="preserve">, a teaming agreement that provides a more formal commitment of what </w:t>
      </w:r>
      <w:r w:rsidR="008E5ECD">
        <w:t xml:space="preserve">the </w:t>
      </w:r>
      <w:r>
        <w:t xml:space="preserve">Sub </w:t>
      </w:r>
      <w:r w:rsidR="00014E2C">
        <w:t>needs to provide and a timeline for doing so is beneficial.</w:t>
      </w:r>
      <w:r w:rsidR="004F0EDB">
        <w:rPr>
          <w:rStyle w:val="FootnoteReference"/>
        </w:rPr>
        <w:footnoteReference w:id="37"/>
      </w:r>
    </w:p>
    <w:p w14:paraId="1D90F532" w14:textId="2E2D3012" w:rsidR="00E236EA" w:rsidRPr="00014E2C" w:rsidRDefault="00E236EA" w:rsidP="00E236EA">
      <w:pPr>
        <w:ind w:left="720"/>
        <w:rPr>
          <w:u w:val="single"/>
        </w:rPr>
      </w:pPr>
      <w:r>
        <w:rPr>
          <w:u w:val="single"/>
        </w:rPr>
        <w:t>The capacities</w:t>
      </w:r>
      <w:r w:rsidRPr="00014E2C">
        <w:rPr>
          <w:u w:val="single"/>
        </w:rPr>
        <w:t xml:space="preserve"> of the entities negotiating the agreement</w:t>
      </w:r>
      <w:r>
        <w:t xml:space="preserve"> - all things being equal, fully executed teaming agreements provide more </w:t>
      </w:r>
      <w:r w:rsidR="0049683E">
        <w:t xml:space="preserve">certainty </w:t>
      </w:r>
      <w:r>
        <w:t>for both Primes and Subs. If the entities involved have the capacity to pursue formal agreements, they should.</w:t>
      </w:r>
    </w:p>
    <w:p w14:paraId="744C1353" w14:textId="29A7848C" w:rsidR="00A70CEA" w:rsidRPr="00794046" w:rsidRDefault="00794046" w:rsidP="00672C40">
      <w:pPr>
        <w:rPr>
          <w:b/>
        </w:rPr>
      </w:pPr>
      <w:r w:rsidRPr="00794046">
        <w:rPr>
          <w:b/>
        </w:rPr>
        <w:t xml:space="preserve">Minimum </w:t>
      </w:r>
      <w:r w:rsidR="00805C31">
        <w:rPr>
          <w:b/>
        </w:rPr>
        <w:t>provisions to include in any agreement to team</w:t>
      </w:r>
    </w:p>
    <w:p w14:paraId="258E40BA" w14:textId="74A445A4" w:rsidR="00A70CEA" w:rsidRDefault="00464832" w:rsidP="00464832">
      <w:pPr>
        <w:ind w:firstLine="720"/>
      </w:pPr>
      <w:r>
        <w:t xml:space="preserve">For non-profits, </w:t>
      </w:r>
      <w:r w:rsidR="008E1C0E">
        <w:t>informal</w:t>
      </w:r>
      <w:r>
        <w:t xml:space="preserve"> </w:t>
      </w:r>
      <w:r w:rsidR="00995530">
        <w:t xml:space="preserve">teaming </w:t>
      </w:r>
      <w:r w:rsidR="006F03FD">
        <w:t>agreements like letters of understanding</w:t>
      </w:r>
      <w:r>
        <w:t xml:space="preserve"> are often desirable because they </w:t>
      </w:r>
      <w:r w:rsidR="00995530">
        <w:t>can address key issues</w:t>
      </w:r>
      <w:r>
        <w:t xml:space="preserve"> </w:t>
      </w:r>
      <w:r w:rsidR="00D40CC1">
        <w:t xml:space="preserve">more quickly and </w:t>
      </w:r>
      <w:r>
        <w:t xml:space="preserve">at </w:t>
      </w:r>
      <w:r w:rsidR="004F0EDB">
        <w:t>reduced</w:t>
      </w:r>
      <w:r>
        <w:t xml:space="preserve"> cost</w:t>
      </w:r>
      <w:r w:rsidR="00315CCE">
        <w:t>, especially those issues where the interests of Primes and Subs diverge</w:t>
      </w:r>
      <w:r w:rsidR="006E33AB">
        <w:t xml:space="preserve">. </w:t>
      </w:r>
      <w:r w:rsidR="006F03FD">
        <w:t xml:space="preserve">Even with informal agreements to team, </w:t>
      </w:r>
      <w:r w:rsidR="008A124A">
        <w:t xml:space="preserve">both parties benefit from </w:t>
      </w:r>
      <w:r w:rsidR="008E1C0E">
        <w:t>clarifying</w:t>
      </w:r>
      <w:r w:rsidR="008A124A">
        <w:t xml:space="preserve"> expectations early about </w:t>
      </w:r>
      <w:r w:rsidR="002C7EC7">
        <w:t>those</w:t>
      </w:r>
      <w:r w:rsidR="00995530">
        <w:t xml:space="preserve"> issues and should</w:t>
      </w:r>
      <w:r w:rsidR="002B0E12">
        <w:t xml:space="preserve"> include language </w:t>
      </w:r>
      <w:r w:rsidR="00995530">
        <w:t>to that effect</w:t>
      </w:r>
      <w:r w:rsidR="008A124A">
        <w:t>.</w:t>
      </w:r>
      <w:r w:rsidR="00315CCE" w:rsidRPr="00315CCE">
        <w:rPr>
          <w:rStyle w:val="FootnoteReference"/>
        </w:rPr>
        <w:t xml:space="preserve"> </w:t>
      </w:r>
      <w:r w:rsidR="00315CCE">
        <w:rPr>
          <w:rStyle w:val="FootnoteReference"/>
        </w:rPr>
        <w:footnoteReference w:id="38"/>
      </w:r>
    </w:p>
    <w:p w14:paraId="524DFEFE" w14:textId="6A78C08E" w:rsidR="00305A3A" w:rsidRPr="006C0ECF" w:rsidRDefault="00305A3A" w:rsidP="00986FE1">
      <w:pPr>
        <w:ind w:firstLine="720"/>
      </w:pPr>
      <w:r w:rsidRPr="006C0ECF">
        <w:rPr>
          <w:u w:val="single"/>
        </w:rPr>
        <w:t>Statement of work</w:t>
      </w:r>
      <w:r w:rsidR="006C0ECF">
        <w:t xml:space="preserve"> – Any agreement to team should always identify the parties and the grant for which they are te</w:t>
      </w:r>
      <w:r w:rsidR="0032469A">
        <w:t>aming</w:t>
      </w:r>
      <w:r w:rsidR="006E2092">
        <w:t>,</w:t>
      </w:r>
      <w:r w:rsidR="0032469A">
        <w:t xml:space="preserve"> and</w:t>
      </w:r>
      <w:r w:rsidR="005A074A">
        <w:t xml:space="preserve"> </w:t>
      </w:r>
      <w:r w:rsidR="00F6369E">
        <w:t>should</w:t>
      </w:r>
      <w:r w:rsidR="006C0ECF">
        <w:t xml:space="preserve"> specify the role that the </w:t>
      </w:r>
      <w:r w:rsidR="006E2092">
        <w:t xml:space="preserve">Sub </w:t>
      </w:r>
      <w:r w:rsidR="006C0ECF">
        <w:t>is agreeing to take on.</w:t>
      </w:r>
      <w:r w:rsidR="006C0ECF">
        <w:rPr>
          <w:rStyle w:val="FootnoteReference"/>
        </w:rPr>
        <w:footnoteReference w:id="39"/>
      </w:r>
      <w:r w:rsidR="006C0ECF">
        <w:t xml:space="preserve"> </w:t>
      </w:r>
      <w:r w:rsidR="006E2092">
        <w:t xml:space="preserve">A Prime </w:t>
      </w:r>
      <w:r w:rsidR="006C0ECF">
        <w:t>generally want</w:t>
      </w:r>
      <w:r w:rsidR="006E2092">
        <w:t>s</w:t>
      </w:r>
      <w:r w:rsidR="006C0ECF">
        <w:t xml:space="preserve"> a statement of work that is relatively vague in order to retain flexibility, while </w:t>
      </w:r>
      <w:r w:rsidR="006E2092">
        <w:t xml:space="preserve">a Sub </w:t>
      </w:r>
      <w:r w:rsidR="006C0ECF">
        <w:t>want</w:t>
      </w:r>
      <w:r w:rsidR="006E2092">
        <w:t>s</w:t>
      </w:r>
      <w:r w:rsidR="006C0ECF">
        <w:t xml:space="preserve"> the proposed statement of work to be as clear and specific as possible.</w:t>
      </w:r>
      <w:r w:rsidR="006C0ECF">
        <w:rPr>
          <w:rStyle w:val="FootnoteReference"/>
        </w:rPr>
        <w:footnoteReference w:id="40"/>
      </w:r>
    </w:p>
    <w:p w14:paraId="6D7505A1" w14:textId="62FA7C95" w:rsidR="00305A3A" w:rsidRPr="006E33AB" w:rsidRDefault="00305A3A" w:rsidP="00986FE1">
      <w:pPr>
        <w:ind w:firstLine="720"/>
      </w:pPr>
      <w:r w:rsidRPr="006E33AB">
        <w:rPr>
          <w:u w:val="single"/>
        </w:rPr>
        <w:lastRenderedPageBreak/>
        <w:t>Exclusivity</w:t>
      </w:r>
      <w:r w:rsidR="006E33AB">
        <w:t xml:space="preserve"> </w:t>
      </w:r>
      <w:r w:rsidR="0032469A">
        <w:t>–</w:t>
      </w:r>
      <w:r w:rsidR="006E33AB">
        <w:t xml:space="preserve"> </w:t>
      </w:r>
      <w:r w:rsidR="006E2092">
        <w:t>Usually, a Prime has</w:t>
      </w:r>
      <w:r w:rsidR="0032469A">
        <w:t xml:space="preserve"> a strong interest </w:t>
      </w:r>
      <w:r w:rsidR="00D360EC">
        <w:t>to ensure</w:t>
      </w:r>
      <w:r w:rsidR="0032469A">
        <w:t xml:space="preserve"> that</w:t>
      </w:r>
      <w:r w:rsidR="006E2092">
        <w:t xml:space="preserve"> a</w:t>
      </w:r>
      <w:r w:rsidR="0032469A">
        <w:t xml:space="preserve"> potential </w:t>
      </w:r>
      <w:r w:rsidR="00D360EC">
        <w:t>Sub will be exclusive</w:t>
      </w:r>
      <w:r w:rsidR="0032469A">
        <w:t xml:space="preserve">, and </w:t>
      </w:r>
      <w:r w:rsidR="006E2092">
        <w:t>that the Sub</w:t>
      </w:r>
      <w:r w:rsidR="00726531">
        <w:t xml:space="preserve"> </w:t>
      </w:r>
      <w:r w:rsidR="00D360EC">
        <w:t>will not</w:t>
      </w:r>
      <w:r w:rsidR="0032469A">
        <w:t xml:space="preserve"> </w:t>
      </w:r>
      <w:r w:rsidR="00B230E9">
        <w:t>join with</w:t>
      </w:r>
      <w:r w:rsidR="0032469A">
        <w:t xml:space="preserve"> </w:t>
      </w:r>
      <w:r w:rsidR="0049683E">
        <w:t xml:space="preserve">or originate </w:t>
      </w:r>
      <w:r w:rsidR="0032469A">
        <w:t>competing bids.</w:t>
      </w:r>
      <w:r w:rsidR="0032469A">
        <w:rPr>
          <w:rStyle w:val="FootnoteReference"/>
        </w:rPr>
        <w:footnoteReference w:id="41"/>
      </w:r>
      <w:r w:rsidR="0032469A">
        <w:t xml:space="preserve"> </w:t>
      </w:r>
      <w:r w:rsidR="006E2092">
        <w:t xml:space="preserve">A </w:t>
      </w:r>
      <w:r w:rsidR="002A67E6">
        <w:t>P</w:t>
      </w:r>
      <w:r w:rsidR="006E2092">
        <w:t>rime</w:t>
      </w:r>
      <w:r w:rsidR="002A67E6">
        <w:t xml:space="preserve"> can strengthen </w:t>
      </w:r>
      <w:r w:rsidR="006E2092" w:rsidRPr="00B230E9">
        <w:t xml:space="preserve">its </w:t>
      </w:r>
      <w:r w:rsidR="006E2092">
        <w:t>bid</w:t>
      </w:r>
      <w:r w:rsidR="002A67E6">
        <w:t xml:space="preserve"> by getting some assurance that a key </w:t>
      </w:r>
      <w:r w:rsidR="006E2092">
        <w:t>Sub</w:t>
      </w:r>
      <w:r w:rsidR="002A67E6">
        <w:t xml:space="preserve"> will team exclusively with the Prime, even if that assurance is informal and non-binding. </w:t>
      </w:r>
      <w:r w:rsidR="006E2092">
        <w:t>The Sub</w:t>
      </w:r>
      <w:r w:rsidR="0032469A">
        <w:t xml:space="preserve">, on the other hand, </w:t>
      </w:r>
      <w:r w:rsidR="006E2092">
        <w:t>usually wants</w:t>
      </w:r>
      <w:r w:rsidR="0032469A">
        <w:t xml:space="preserve"> to retain the ability to join other bids in order to maximize </w:t>
      </w:r>
      <w:r w:rsidR="006E2092" w:rsidRPr="00B230E9">
        <w:t xml:space="preserve">its </w:t>
      </w:r>
      <w:r w:rsidR="0032469A">
        <w:t>own chance of receiving work.</w:t>
      </w:r>
      <w:r w:rsidR="00D9293A">
        <w:rPr>
          <w:rStyle w:val="FootnoteReference"/>
        </w:rPr>
        <w:footnoteReference w:id="42"/>
      </w:r>
      <w:r w:rsidR="0032469A">
        <w:t xml:space="preserve"> </w:t>
      </w:r>
    </w:p>
    <w:p w14:paraId="53979491" w14:textId="1776FE59" w:rsidR="00794046" w:rsidRDefault="00305A3A" w:rsidP="008E1C0E">
      <w:pPr>
        <w:ind w:firstLine="720"/>
      </w:pPr>
      <w:r w:rsidRPr="0032469A">
        <w:rPr>
          <w:u w:val="single"/>
        </w:rPr>
        <w:t>Negotiation of future subgrant</w:t>
      </w:r>
      <w:r w:rsidR="00726531">
        <w:rPr>
          <w:u w:val="single"/>
        </w:rPr>
        <w:t>/subcontract</w:t>
      </w:r>
      <w:r w:rsidR="0032469A">
        <w:rPr>
          <w:u w:val="single"/>
        </w:rPr>
        <w:t xml:space="preserve"> </w:t>
      </w:r>
      <w:r w:rsidR="0032469A">
        <w:t xml:space="preserve">– </w:t>
      </w:r>
      <w:r w:rsidR="006E2092">
        <w:t xml:space="preserve">Because </w:t>
      </w:r>
      <w:r w:rsidR="00726531">
        <w:t xml:space="preserve">the Courts will view </w:t>
      </w:r>
      <w:r w:rsidR="006E2092">
        <w:t>any promise of a future subgrant</w:t>
      </w:r>
      <w:r w:rsidR="00D360EC">
        <w:t>/</w:t>
      </w:r>
      <w:r w:rsidR="006E2092">
        <w:t xml:space="preserve">subcontract as unenforceable, </w:t>
      </w:r>
      <w:r w:rsidR="00726531">
        <w:t xml:space="preserve">the parties usually include a provision promising to </w:t>
      </w:r>
      <w:r w:rsidR="00726531" w:rsidRPr="00D360EC">
        <w:rPr>
          <w:i/>
        </w:rPr>
        <w:t>negotiate</w:t>
      </w:r>
      <w:r w:rsidR="00726531">
        <w:t xml:space="preserve"> a future subgrant/subcontract in good faith.</w:t>
      </w:r>
      <w:r w:rsidR="0063537C">
        <w:rPr>
          <w:rStyle w:val="FootnoteReference"/>
        </w:rPr>
        <w:footnoteReference w:id="43"/>
      </w:r>
      <w:r w:rsidR="00726531">
        <w:t xml:space="preserve"> </w:t>
      </w:r>
      <w:r w:rsidR="00341054">
        <w:t>An agreement to negotiate i</w:t>
      </w:r>
      <w:r w:rsidR="00956CD9">
        <w:t>n good faith can be enforceable,</w:t>
      </w:r>
      <w:r w:rsidR="00341054">
        <w:t xml:space="preserve"> but even </w:t>
      </w:r>
      <w:r w:rsidR="00956CD9">
        <w:t>in non-binding agreements</w:t>
      </w:r>
      <w:r w:rsidR="00341054">
        <w:t xml:space="preserve"> </w:t>
      </w:r>
      <w:r w:rsidR="00A40040">
        <w:t>these</w:t>
      </w:r>
      <w:r w:rsidR="00341054">
        <w:t xml:space="preserve"> provisions </w:t>
      </w:r>
      <w:r w:rsidR="00A40040">
        <w:t xml:space="preserve">establish an expectation of including the Sub in carrying out the grant that the Prime will usually want to fulfill. </w:t>
      </w:r>
      <w:r w:rsidR="006E2092">
        <w:t xml:space="preserve">A Prime </w:t>
      </w:r>
      <w:r w:rsidR="0032469A">
        <w:t xml:space="preserve">will </w:t>
      </w:r>
      <w:r w:rsidR="00A40040">
        <w:t>also</w:t>
      </w:r>
      <w:r w:rsidR="0032469A">
        <w:t xml:space="preserve"> </w:t>
      </w:r>
      <w:r w:rsidR="008E1C0E">
        <w:t xml:space="preserve">include </w:t>
      </w:r>
      <w:r w:rsidR="00726531">
        <w:t>such a provision</w:t>
      </w:r>
      <w:r w:rsidR="008E1C0E">
        <w:t xml:space="preserve"> to avoid any implication that </w:t>
      </w:r>
      <w:r w:rsidR="00F6369E">
        <w:t xml:space="preserve">the document </w:t>
      </w:r>
      <w:r w:rsidR="00D360EC">
        <w:t xml:space="preserve">is intended </w:t>
      </w:r>
      <w:r w:rsidR="00F6369E">
        <w:t xml:space="preserve">as </w:t>
      </w:r>
      <w:r w:rsidR="00726531">
        <w:t xml:space="preserve">the subgrant/subcontract </w:t>
      </w:r>
      <w:r w:rsidR="00726531" w:rsidRPr="0063537C">
        <w:t>itself</w:t>
      </w:r>
      <w:r w:rsidR="00726531">
        <w:t xml:space="preserve">, especially if the document includes </w:t>
      </w:r>
      <w:r w:rsidR="0063537C">
        <w:t>detailed</w:t>
      </w:r>
      <w:r w:rsidR="00726531">
        <w:t xml:space="preserve"> language about the </w:t>
      </w:r>
      <w:r w:rsidR="0063537C">
        <w:t>Sub’s scope of work and the price for their services</w:t>
      </w:r>
      <w:r w:rsidR="008E1C0E">
        <w:t>.</w:t>
      </w:r>
      <w:r w:rsidR="008E1C0E">
        <w:rPr>
          <w:rStyle w:val="FootnoteReference"/>
        </w:rPr>
        <w:footnoteReference w:id="44"/>
      </w:r>
      <w:r w:rsidR="008E1C0E">
        <w:t xml:space="preserve"> </w:t>
      </w:r>
    </w:p>
    <w:p w14:paraId="65BF64C2" w14:textId="3C99404E" w:rsidR="007C185F" w:rsidRPr="007C185F" w:rsidRDefault="009B5716" w:rsidP="00672C40">
      <w:r>
        <w:rPr>
          <w:b/>
        </w:rPr>
        <w:t>Other common issues</w:t>
      </w:r>
    </w:p>
    <w:p w14:paraId="25869001" w14:textId="2A38690A" w:rsidR="001048D2" w:rsidRDefault="001048D2" w:rsidP="001048D2">
      <w:pPr>
        <w:ind w:firstLine="720"/>
      </w:pPr>
      <w:r>
        <w:t xml:space="preserve">Agreements to team raise </w:t>
      </w:r>
      <w:proofErr w:type="gramStart"/>
      <w:r>
        <w:t>a number of</w:t>
      </w:r>
      <w:proofErr w:type="gramEnd"/>
      <w:r>
        <w:t xml:space="preserve"> issues not discussed above depending on the </w:t>
      </w:r>
      <w:r w:rsidR="006C3A10">
        <w:t>grant and</w:t>
      </w:r>
      <w:r w:rsidR="0004283D">
        <w:t xml:space="preserve"> the parties involved</w:t>
      </w:r>
      <w:r>
        <w:t xml:space="preserve">. Because these provisions generally relate to how parties will act in the pre-award stage of the relationship, courts </w:t>
      </w:r>
      <w:r w:rsidR="00DE6301">
        <w:t>usually</w:t>
      </w:r>
      <w:r>
        <w:t xml:space="preserve"> enforce them </w:t>
      </w:r>
      <w:r w:rsidR="00DE6301">
        <w:t>if</w:t>
      </w:r>
      <w:r>
        <w:t xml:space="preserve"> the terms of each provision are clear.</w:t>
      </w:r>
      <w:r>
        <w:rPr>
          <w:rStyle w:val="FootnoteReference"/>
        </w:rPr>
        <w:footnoteReference w:id="45"/>
      </w:r>
      <w:r>
        <w:t xml:space="preserve"> </w:t>
      </w:r>
    </w:p>
    <w:p w14:paraId="6DE438F4" w14:textId="52F0E165" w:rsidR="007C185F" w:rsidRPr="00BC4A69" w:rsidRDefault="007C185F" w:rsidP="001048D2">
      <w:pPr>
        <w:ind w:firstLine="720"/>
      </w:pPr>
      <w:r w:rsidRPr="00A40FE0">
        <w:rPr>
          <w:u w:val="single"/>
        </w:rPr>
        <w:t>Confidentiality</w:t>
      </w:r>
      <w:r w:rsidR="00BC4A69">
        <w:t xml:space="preserve"> – </w:t>
      </w:r>
      <w:r w:rsidR="00A40040">
        <w:t>Organizations teaming together</w:t>
      </w:r>
      <w:r w:rsidR="00555A91">
        <w:t xml:space="preserve"> </w:t>
      </w:r>
      <w:r w:rsidR="00D40CC1">
        <w:t xml:space="preserve">often </w:t>
      </w:r>
      <w:r w:rsidR="00555A91">
        <w:t>share sensitive information about areas like internal p</w:t>
      </w:r>
      <w:r w:rsidR="0059722C">
        <w:t>rocesses and technical capacity, and b</w:t>
      </w:r>
      <w:r w:rsidR="00BA1041">
        <w:t>oth organizations have an interest in ensuring the other party manages their information responsibly.</w:t>
      </w:r>
      <w:r w:rsidR="0059722C">
        <w:rPr>
          <w:rStyle w:val="FootnoteReference"/>
        </w:rPr>
        <w:footnoteReference w:id="46"/>
      </w:r>
      <w:r w:rsidR="00BA1041">
        <w:t xml:space="preserve"> To that end, agreements to team often include confidentiality clauses.</w:t>
      </w:r>
      <w:r w:rsidR="00E25486">
        <w:rPr>
          <w:rStyle w:val="FootnoteReference"/>
        </w:rPr>
        <w:footnoteReference w:id="47"/>
      </w:r>
      <w:r w:rsidR="00B230E9">
        <w:t xml:space="preserve"> In informal, non-binding agreements, confidentiality provisions </w:t>
      </w:r>
      <w:r w:rsidR="0059722C">
        <w:t>can be</w:t>
      </w:r>
      <w:r w:rsidR="00B230E9">
        <w:t xml:space="preserve"> separately enforceable, </w:t>
      </w:r>
      <w:r w:rsidR="0059722C">
        <w:t>or the parties may agree on a separate, binding Non-Disclosure Agreement.</w:t>
      </w:r>
    </w:p>
    <w:p w14:paraId="72E45B36" w14:textId="5B8FEB70" w:rsidR="003A5729" w:rsidRPr="003A5729" w:rsidRDefault="003A5729" w:rsidP="001048D2">
      <w:pPr>
        <w:ind w:firstLine="720"/>
      </w:pPr>
      <w:r>
        <w:rPr>
          <w:u w:val="single"/>
        </w:rPr>
        <w:t>Intellectual Property Rights</w:t>
      </w:r>
      <w:r>
        <w:softHyphen/>
        <w:t xml:space="preserve"> </w:t>
      </w:r>
      <w:r w:rsidR="00555A91">
        <w:t>–</w:t>
      </w:r>
      <w:r>
        <w:t xml:space="preserve"> </w:t>
      </w:r>
      <w:r w:rsidR="0059722C">
        <w:t>Primes and Subs</w:t>
      </w:r>
      <w:r w:rsidR="00555A91">
        <w:t xml:space="preserve"> are likely going to </w:t>
      </w:r>
      <w:r w:rsidR="00D40CC1">
        <w:t xml:space="preserve">co-create or </w:t>
      </w:r>
      <w:r w:rsidR="00555A91">
        <w:t>share intellectual property</w:t>
      </w:r>
      <w:r w:rsidR="0049683E">
        <w:t xml:space="preserve"> (“IP”)</w:t>
      </w:r>
      <w:r w:rsidR="00555A91">
        <w:t xml:space="preserve">, </w:t>
      </w:r>
      <w:r w:rsidR="0049683E">
        <w:t xml:space="preserve">possibly </w:t>
      </w:r>
      <w:r w:rsidR="00555A91">
        <w:t>including proprietary software and data, in the course of both bidding and executing a grant project.</w:t>
      </w:r>
      <w:r w:rsidR="00555A91">
        <w:rPr>
          <w:rStyle w:val="FootnoteReference"/>
        </w:rPr>
        <w:footnoteReference w:id="48"/>
      </w:r>
      <w:r w:rsidR="00555A91">
        <w:t xml:space="preserve"> Including provisions stating when </w:t>
      </w:r>
      <w:r w:rsidR="00C27609">
        <w:t xml:space="preserve">and how </w:t>
      </w:r>
      <w:r w:rsidR="0059722C">
        <w:t>parties</w:t>
      </w:r>
      <w:r w:rsidR="00C27609">
        <w:t xml:space="preserve"> may access or use the other’s </w:t>
      </w:r>
      <w:r w:rsidR="00D40CC1">
        <w:t xml:space="preserve">or shared </w:t>
      </w:r>
      <w:r w:rsidR="00C27609">
        <w:t>IP can help ensure each organization’</w:t>
      </w:r>
      <w:r w:rsidR="00A05541">
        <w:t xml:space="preserve">s </w:t>
      </w:r>
      <w:r w:rsidR="00021DDB">
        <w:t xml:space="preserve">property </w:t>
      </w:r>
      <w:r w:rsidR="00D40CC1">
        <w:t xml:space="preserve">rights are </w:t>
      </w:r>
      <w:r w:rsidR="00A05541">
        <w:t>handled correctly.</w:t>
      </w:r>
    </w:p>
    <w:p w14:paraId="4DC76A63" w14:textId="2FF8C9D1" w:rsidR="003A5729" w:rsidRPr="003A5729" w:rsidRDefault="007C185F" w:rsidP="003A5729">
      <w:pPr>
        <w:ind w:firstLine="720"/>
      </w:pPr>
      <w:r w:rsidRPr="00A40FE0">
        <w:rPr>
          <w:u w:val="single"/>
        </w:rPr>
        <w:t xml:space="preserve">Proposal </w:t>
      </w:r>
      <w:r w:rsidR="00D40CC1">
        <w:rPr>
          <w:u w:val="single"/>
        </w:rPr>
        <w:t>P</w:t>
      </w:r>
      <w:r w:rsidRPr="00A40FE0">
        <w:rPr>
          <w:u w:val="single"/>
        </w:rPr>
        <w:t>reparation</w:t>
      </w:r>
      <w:r w:rsidR="00A40FE0">
        <w:t xml:space="preserve"> – </w:t>
      </w:r>
      <w:r w:rsidR="0059722C">
        <w:t>Subs</w:t>
      </w:r>
      <w:r w:rsidR="00A40FE0">
        <w:t xml:space="preserve"> often assist in the preparation of materials to submit</w:t>
      </w:r>
      <w:r w:rsidR="00B230E9">
        <w:t xml:space="preserve"> as part of the grant proposal. Indicating specific deadlines for delivery of the Sub’s material to the Prime </w:t>
      </w:r>
      <w:r w:rsidR="0059722C">
        <w:t>can address timing issues before they delay the proposal.</w:t>
      </w:r>
      <w:r w:rsidR="00A40FE0">
        <w:rPr>
          <w:rStyle w:val="FootnoteReference"/>
        </w:rPr>
        <w:footnoteReference w:id="49"/>
      </w:r>
      <w:r w:rsidR="0059722C">
        <w:t xml:space="preserve"> </w:t>
      </w:r>
      <w:r w:rsidR="00A40FE0">
        <w:t xml:space="preserve">These provisions often specify that only the </w:t>
      </w:r>
      <w:r w:rsidR="00D743AF">
        <w:t>Prime</w:t>
      </w:r>
      <w:r w:rsidR="00A40FE0">
        <w:t xml:space="preserve"> will communicate with the </w:t>
      </w:r>
      <w:r w:rsidR="004B12C9">
        <w:t>government agency offering the grant</w:t>
      </w:r>
      <w:r w:rsidR="00D743AF">
        <w:t xml:space="preserve">, and if the agency contacts the Sub, the Sub will inform the Prime of </w:t>
      </w:r>
      <w:r w:rsidR="00956CD9">
        <w:t>the</w:t>
      </w:r>
      <w:r w:rsidR="00D743AF">
        <w:t xml:space="preserve"> communication promptly.</w:t>
      </w:r>
      <w:r w:rsidR="00D743AF">
        <w:rPr>
          <w:rStyle w:val="FootnoteReference"/>
        </w:rPr>
        <w:footnoteReference w:id="50"/>
      </w:r>
    </w:p>
    <w:p w14:paraId="68619AC7" w14:textId="14B1BD9B" w:rsidR="00305A3A" w:rsidRPr="002E4AA8" w:rsidRDefault="002E4AA8" w:rsidP="00672C40">
      <w:r>
        <w:lastRenderedPageBreak/>
        <w:tab/>
      </w:r>
      <w:r w:rsidR="004B12C9">
        <w:rPr>
          <w:u w:val="single"/>
        </w:rPr>
        <w:t>Termination</w:t>
      </w:r>
      <w:r w:rsidR="00E236EA">
        <w:rPr>
          <w:u w:val="single"/>
        </w:rPr>
        <w:t xml:space="preserve"> and Dispute Resolution</w:t>
      </w:r>
      <w:r w:rsidR="00E236EA">
        <w:t xml:space="preserve"> </w:t>
      </w:r>
      <w:r w:rsidR="00410849">
        <w:t xml:space="preserve">– </w:t>
      </w:r>
      <w:r w:rsidR="00A40040">
        <w:t xml:space="preserve">While most of the agreements discussed in this memo are non-binding, they may include binding clauses such as confidentiality agreements. If these clauses are present, the parties should </w:t>
      </w:r>
      <w:r w:rsidR="00410849">
        <w:t>be clear as to how long those</w:t>
      </w:r>
      <w:r w:rsidR="007559E4">
        <w:t xml:space="preserve"> obligations will be in effect. For example, a termination clause can clarify what happens</w:t>
      </w:r>
      <w:r w:rsidR="00F244A0">
        <w:t xml:space="preserve"> </w:t>
      </w:r>
      <w:r w:rsidR="007559E4">
        <w:t xml:space="preserve">if </w:t>
      </w:r>
      <w:r w:rsidR="00F244A0">
        <w:t>the team fails to win the bid</w:t>
      </w:r>
      <w:r w:rsidR="00C758BA">
        <w:t xml:space="preserve"> or if</w:t>
      </w:r>
      <w:r w:rsidR="00F244A0">
        <w:t xml:space="preserve"> one </w:t>
      </w:r>
      <w:r w:rsidR="003C24A6">
        <w:t xml:space="preserve">party </w:t>
      </w:r>
      <w:r w:rsidR="00F244A0">
        <w:t xml:space="preserve">does not </w:t>
      </w:r>
      <w:r w:rsidR="003C24A6">
        <w:t>perform</w:t>
      </w:r>
      <w:r w:rsidR="00F244A0">
        <w:t xml:space="preserve"> c</w:t>
      </w:r>
      <w:r w:rsidR="00C758BA">
        <w:t>ertain aspects of the agreement</w:t>
      </w:r>
      <w:r w:rsidR="00F244A0">
        <w:t>.</w:t>
      </w:r>
      <w:r w:rsidR="000732C3">
        <w:rPr>
          <w:rStyle w:val="FootnoteReference"/>
        </w:rPr>
        <w:footnoteReference w:id="51"/>
      </w:r>
      <w:r w:rsidR="00F244A0">
        <w:t xml:space="preserve"> </w:t>
      </w:r>
      <w:r w:rsidR="00E236EA">
        <w:t>Similarly, if the parties have agreed to binding commitments, they may</w:t>
      </w:r>
      <w:r w:rsidR="00BA7609">
        <w:t xml:space="preserve"> want to agree on some method of dispute resolution. Dispute resolution clauses </w:t>
      </w:r>
      <w:r w:rsidR="00116A87">
        <w:t>create a mechanism for the parties to address issues that arise if one party fails to perform without dissolving the entire agreement.</w:t>
      </w:r>
      <w:r w:rsidR="007559E4">
        <w:rPr>
          <w:rStyle w:val="FootnoteReference"/>
        </w:rPr>
        <w:footnoteReference w:id="52"/>
      </w:r>
      <w:r w:rsidR="00116A87">
        <w:t xml:space="preserve"> </w:t>
      </w:r>
    </w:p>
    <w:sectPr w:rsidR="00305A3A" w:rsidRPr="002E4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0B445" w14:textId="77777777" w:rsidR="0072146A" w:rsidRDefault="0072146A" w:rsidP="00BA0EF4">
      <w:pPr>
        <w:spacing w:after="0" w:line="240" w:lineRule="auto"/>
      </w:pPr>
      <w:r>
        <w:separator/>
      </w:r>
    </w:p>
  </w:endnote>
  <w:endnote w:type="continuationSeparator" w:id="0">
    <w:p w14:paraId="2AA41ACB" w14:textId="77777777" w:rsidR="0072146A" w:rsidRDefault="0072146A" w:rsidP="00BA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09399" w14:textId="77777777" w:rsidR="00CB6C39" w:rsidRDefault="00CB6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87413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20A044" w14:textId="5295E4EC" w:rsidR="0086357C" w:rsidRDefault="008635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CB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0CB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5BC199" w14:textId="181D831D" w:rsidR="0086357C" w:rsidRDefault="0086357C" w:rsidP="008635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B275D" w14:textId="77777777" w:rsidR="00CB6C39" w:rsidRDefault="00CB6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522BB" w14:textId="77777777" w:rsidR="0072146A" w:rsidRDefault="0072146A" w:rsidP="00BA0EF4">
      <w:pPr>
        <w:spacing w:after="0" w:line="240" w:lineRule="auto"/>
      </w:pPr>
      <w:r>
        <w:separator/>
      </w:r>
    </w:p>
  </w:footnote>
  <w:footnote w:type="continuationSeparator" w:id="0">
    <w:p w14:paraId="1A8BDA9B" w14:textId="77777777" w:rsidR="0072146A" w:rsidRDefault="0072146A" w:rsidP="00BA0EF4">
      <w:pPr>
        <w:spacing w:after="0" w:line="240" w:lineRule="auto"/>
      </w:pPr>
      <w:r>
        <w:continuationSeparator/>
      </w:r>
    </w:p>
  </w:footnote>
  <w:footnote w:id="1">
    <w:p w14:paraId="0E95FA79" w14:textId="794D0D47" w:rsidR="00030854" w:rsidRDefault="000308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61D1">
        <w:t xml:space="preserve">Robert H. Koehler, </w:t>
      </w:r>
      <w:r w:rsidR="00E061D1" w:rsidRPr="00C03448">
        <w:rPr>
          <w:i/>
        </w:rPr>
        <w:t xml:space="preserve">Teaming Agreements: </w:t>
      </w:r>
      <w:proofErr w:type="gramStart"/>
      <w:r w:rsidR="00E061D1" w:rsidRPr="00C03448">
        <w:rPr>
          <w:i/>
        </w:rPr>
        <w:t>the</w:t>
      </w:r>
      <w:proofErr w:type="gramEnd"/>
      <w:r w:rsidR="00E061D1" w:rsidRPr="00C03448">
        <w:rPr>
          <w:i/>
        </w:rPr>
        <w:t xml:space="preserve"> Proverbial “Wolf in Sheep’s Clothing,”</w:t>
      </w:r>
      <w:r w:rsidR="00E061D1">
        <w:t xml:space="preserve"> </w:t>
      </w:r>
      <w:r w:rsidR="00E061D1" w:rsidRPr="00C03448">
        <w:t>14-6 Briefing Papers 1</w:t>
      </w:r>
      <w:r w:rsidR="00E061D1">
        <w:t xml:space="preserve"> (2014).</w:t>
      </w:r>
    </w:p>
  </w:footnote>
  <w:footnote w:id="2">
    <w:p w14:paraId="6A455D99" w14:textId="008CDAB9" w:rsidR="00030854" w:rsidRPr="00E061D1" w:rsidRDefault="000308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61D1">
        <w:rPr>
          <w:i/>
        </w:rPr>
        <w:t>Id.</w:t>
      </w:r>
    </w:p>
  </w:footnote>
  <w:footnote w:id="3">
    <w:p w14:paraId="5AF0E8AB" w14:textId="7479B0C9" w:rsidR="007E307A" w:rsidRPr="00E061D1" w:rsidRDefault="007E30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61D1">
        <w:rPr>
          <w:i/>
        </w:rPr>
        <w:t>Id.</w:t>
      </w:r>
    </w:p>
  </w:footnote>
  <w:footnote w:id="4">
    <w:p w14:paraId="4E581CB2" w14:textId="7D9ECB7A" w:rsidR="00D81E2E" w:rsidRDefault="00D81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061D1" w:rsidRPr="00E061D1">
        <w:t xml:space="preserve">Ralph C. Nash &amp; Richard N. </w:t>
      </w:r>
      <w:proofErr w:type="spellStart"/>
      <w:r w:rsidR="00E061D1" w:rsidRPr="00E061D1">
        <w:t>Kuyath</w:t>
      </w:r>
      <w:proofErr w:type="spellEnd"/>
      <w:r w:rsidR="00E061D1" w:rsidRPr="00E061D1">
        <w:t xml:space="preserve">, </w:t>
      </w:r>
      <w:r w:rsidR="00E061D1">
        <w:rPr>
          <w:i/>
        </w:rPr>
        <w:t>Teaming Agreements: Are They B</w:t>
      </w:r>
      <w:r w:rsidR="00E061D1" w:rsidRPr="00E061D1">
        <w:rPr>
          <w:i/>
        </w:rPr>
        <w:t>inding?</w:t>
      </w:r>
      <w:r w:rsidR="00E061D1" w:rsidRPr="00E061D1">
        <w:t xml:space="preserve"> 27 Nash &amp; </w:t>
      </w:r>
      <w:proofErr w:type="spellStart"/>
      <w:r w:rsidR="00E061D1" w:rsidRPr="00E061D1">
        <w:t>Cibinic</w:t>
      </w:r>
      <w:proofErr w:type="spellEnd"/>
      <w:r w:rsidR="00E061D1" w:rsidRPr="00E061D1">
        <w:t xml:space="preserve"> Rep. </w:t>
      </w:r>
      <w:r w:rsidR="00E061D1">
        <w:t xml:space="preserve">36 </w:t>
      </w:r>
      <w:r w:rsidR="00E061D1" w:rsidRPr="00E061D1">
        <w:t>(Aug. 2013).</w:t>
      </w:r>
    </w:p>
  </w:footnote>
  <w:footnote w:id="5">
    <w:p w14:paraId="72352408" w14:textId="0D0132DF" w:rsidR="00D81E2E" w:rsidRPr="00C303E5" w:rsidRDefault="00D81E2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03E5">
        <w:rPr>
          <w:i/>
        </w:rPr>
        <w:t xml:space="preserve">See </w:t>
      </w:r>
      <w:r w:rsidR="00C303E5">
        <w:t xml:space="preserve">Koehler, </w:t>
      </w:r>
      <w:r w:rsidR="00C303E5">
        <w:rPr>
          <w:i/>
        </w:rPr>
        <w:t>supra</w:t>
      </w:r>
      <w:r w:rsidR="00C303E5">
        <w:t xml:space="preserve"> note 1.</w:t>
      </w:r>
    </w:p>
  </w:footnote>
  <w:footnote w:id="6">
    <w:p w14:paraId="35BB2169" w14:textId="5292D929" w:rsidR="004316AB" w:rsidRPr="00C303E5" w:rsidRDefault="004316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03E5">
        <w:rPr>
          <w:i/>
        </w:rPr>
        <w:t>Id.</w:t>
      </w:r>
    </w:p>
  </w:footnote>
  <w:footnote w:id="7">
    <w:p w14:paraId="1845B8FD" w14:textId="1200FB9A" w:rsidR="006507D3" w:rsidRPr="006507D3" w:rsidRDefault="006507D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Madalyn A. Murtha, </w:t>
      </w:r>
      <w:r>
        <w:rPr>
          <w:i/>
        </w:rPr>
        <w:t>The Enforceability of Teaming Agreements in Government Contracting and its Effect on Agreement Formation</w:t>
      </w:r>
      <w:r>
        <w:t xml:space="preserve">, 49 </w:t>
      </w:r>
      <w:r w:rsidRPr="00A90DD4">
        <w:t>Procurement Law. 22</w:t>
      </w:r>
      <w:r>
        <w:t>, 22 (2014).</w:t>
      </w:r>
    </w:p>
  </w:footnote>
  <w:footnote w:id="8">
    <w:p w14:paraId="5A92E481" w14:textId="6230F470" w:rsidR="004316AB" w:rsidRPr="00C303E5" w:rsidRDefault="004316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6507D3">
        <w:t>Koehler,</w:t>
      </w:r>
      <w:proofErr w:type="gramEnd"/>
      <w:r w:rsidR="006507D3">
        <w:t xml:space="preserve"> </w:t>
      </w:r>
      <w:r w:rsidR="006507D3">
        <w:rPr>
          <w:i/>
        </w:rPr>
        <w:t>supra</w:t>
      </w:r>
      <w:r w:rsidR="006507D3">
        <w:t xml:space="preserve"> note 1.</w:t>
      </w:r>
    </w:p>
  </w:footnote>
  <w:footnote w:id="9">
    <w:p w14:paraId="7E334550" w14:textId="7A3461B6" w:rsidR="00C03448" w:rsidRPr="00C303E5" w:rsidRDefault="00C0344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03E5">
        <w:rPr>
          <w:i/>
        </w:rPr>
        <w:t xml:space="preserve">See </w:t>
      </w:r>
      <w:r w:rsidR="00C303E5">
        <w:t xml:space="preserve">Nash &amp; </w:t>
      </w:r>
      <w:proofErr w:type="spellStart"/>
      <w:r w:rsidR="00C303E5">
        <w:t>Kuyath</w:t>
      </w:r>
      <w:proofErr w:type="spellEnd"/>
      <w:r w:rsidR="00C303E5">
        <w:t xml:space="preserve">, </w:t>
      </w:r>
      <w:r w:rsidR="00C303E5">
        <w:rPr>
          <w:i/>
        </w:rPr>
        <w:t>supra</w:t>
      </w:r>
      <w:r w:rsidR="00C303E5">
        <w:t xml:space="preserve"> note 4.</w:t>
      </w:r>
    </w:p>
  </w:footnote>
  <w:footnote w:id="10">
    <w:p w14:paraId="47332C6B" w14:textId="26661B1E" w:rsidR="00137118" w:rsidRPr="00137118" w:rsidRDefault="0013711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11">
    <w:p w14:paraId="4C85AF6C" w14:textId="3872BCD7" w:rsidR="00030854" w:rsidRPr="00C303E5" w:rsidRDefault="000308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303E5">
        <w:rPr>
          <w:i/>
        </w:rPr>
        <w:t>Id.</w:t>
      </w:r>
    </w:p>
  </w:footnote>
  <w:footnote w:id="12">
    <w:p w14:paraId="3C017D5B" w14:textId="464C5728" w:rsidR="00835008" w:rsidRPr="00FA4EA7" w:rsidRDefault="008350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gramStart"/>
      <w:r w:rsidR="00A90DD4">
        <w:t>Murtha,</w:t>
      </w:r>
      <w:proofErr w:type="gramEnd"/>
      <w:r w:rsidR="00A90DD4">
        <w:t xml:space="preserve"> </w:t>
      </w:r>
      <w:r w:rsidR="00FA4EA7">
        <w:rPr>
          <w:i/>
        </w:rPr>
        <w:t>supra</w:t>
      </w:r>
      <w:r w:rsidR="00FA4EA7">
        <w:t xml:space="preserve"> note 7.</w:t>
      </w:r>
    </w:p>
  </w:footnote>
  <w:footnote w:id="13">
    <w:p w14:paraId="4890BF12" w14:textId="38F34D63" w:rsidR="00902C3E" w:rsidRPr="00902C3E" w:rsidRDefault="00902C3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Id. </w:t>
      </w:r>
      <w:r>
        <w:t>at 27.</w:t>
      </w:r>
    </w:p>
  </w:footnote>
  <w:footnote w:id="14">
    <w:p w14:paraId="1C3CF753" w14:textId="042B616A" w:rsidR="00BD1247" w:rsidRPr="00BD1247" w:rsidRDefault="00BD12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 w:rsidRPr="00362EAF">
        <w:rPr>
          <w:smallCaps/>
        </w:rPr>
        <w:t>Steptoe &amp; Johnson, LLP, Government Contractor Teaming Agreement Toolkit</w:t>
      </w:r>
      <w:r>
        <w:t xml:space="preserve"> 44-45 (2018).</w:t>
      </w:r>
    </w:p>
  </w:footnote>
  <w:footnote w:id="15">
    <w:p w14:paraId="4792B510" w14:textId="148C9F56" w:rsidR="00BD1247" w:rsidRPr="00BD1247" w:rsidRDefault="00BD12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16">
    <w:p w14:paraId="350274D9" w14:textId="2B75367D" w:rsidR="00030854" w:rsidRDefault="0003085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570B">
        <w:t xml:space="preserve">Nash &amp; </w:t>
      </w:r>
      <w:proofErr w:type="spellStart"/>
      <w:r w:rsidR="001D570B">
        <w:t>Kuyath</w:t>
      </w:r>
      <w:proofErr w:type="spellEnd"/>
      <w:r w:rsidR="001D570B">
        <w:t xml:space="preserve">, </w:t>
      </w:r>
      <w:r w:rsidR="001D570B">
        <w:rPr>
          <w:i/>
        </w:rPr>
        <w:t>supra</w:t>
      </w:r>
      <w:r w:rsidR="001D570B">
        <w:t xml:space="preserve"> note 4.</w:t>
      </w:r>
    </w:p>
  </w:footnote>
  <w:footnote w:id="17">
    <w:p w14:paraId="68BB426A" w14:textId="0437AFF6" w:rsidR="00BD1247" w:rsidRPr="00BD1247" w:rsidRDefault="00BD1247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902C3E">
        <w:t xml:space="preserve">Murtha, </w:t>
      </w:r>
      <w:r w:rsidR="00902C3E">
        <w:rPr>
          <w:i/>
        </w:rPr>
        <w:t>supra</w:t>
      </w:r>
      <w:r w:rsidR="00FA4EA7">
        <w:t xml:space="preserve"> note 7</w:t>
      </w:r>
      <w:r w:rsidR="00902C3E">
        <w:t>, at 23.</w:t>
      </w:r>
    </w:p>
  </w:footnote>
  <w:footnote w:id="18">
    <w:p w14:paraId="42A98163" w14:textId="21D6A249" w:rsidR="00BD1247" w:rsidRPr="00BD1247" w:rsidRDefault="00BD1247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19">
    <w:p w14:paraId="35476901" w14:textId="33960F08" w:rsidR="0074718D" w:rsidRDefault="007471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D570B">
        <w:t xml:space="preserve">Nash &amp; </w:t>
      </w:r>
      <w:proofErr w:type="spellStart"/>
      <w:r w:rsidR="001D570B">
        <w:t>Kuyath</w:t>
      </w:r>
      <w:proofErr w:type="spellEnd"/>
      <w:r w:rsidR="001D570B">
        <w:t xml:space="preserve">, </w:t>
      </w:r>
      <w:r w:rsidR="001D570B">
        <w:rPr>
          <w:i/>
        </w:rPr>
        <w:t>supra</w:t>
      </w:r>
      <w:r w:rsidR="001D570B">
        <w:t xml:space="preserve"> note 4.</w:t>
      </w:r>
    </w:p>
  </w:footnote>
  <w:footnote w:id="20">
    <w:p w14:paraId="68E7595E" w14:textId="271CBB0D" w:rsidR="0074718D" w:rsidRPr="001D570B" w:rsidRDefault="0074718D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1D570B">
        <w:rPr>
          <w:i/>
        </w:rPr>
        <w:t>Id.</w:t>
      </w:r>
    </w:p>
  </w:footnote>
  <w:footnote w:id="21">
    <w:p w14:paraId="6179890C" w14:textId="3E846DCC" w:rsidR="00736F63" w:rsidRPr="00736F63" w:rsidRDefault="002F2985" w:rsidP="00736F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36F63">
        <w:rPr>
          <w:i/>
        </w:rPr>
        <w:t>E.g.</w:t>
      </w:r>
      <w:r w:rsidR="00736F63">
        <w:t>,</w:t>
      </w:r>
      <w:r w:rsidR="00736F63">
        <w:rPr>
          <w:i/>
        </w:rPr>
        <w:t xml:space="preserve"> </w:t>
      </w:r>
      <w:proofErr w:type="spellStart"/>
      <w:r w:rsidR="00736F63">
        <w:t>Cyberlock</w:t>
      </w:r>
      <w:proofErr w:type="spellEnd"/>
      <w:r w:rsidR="00736F63">
        <w:t xml:space="preserve"> Consulting, Inc. v. Information Experts, Inc., 939 F. Supp. 2d 572, 580 (E.D. Va. 2013),</w:t>
      </w:r>
      <w:r w:rsidR="00736F63" w:rsidRPr="00736F63">
        <w:t xml:space="preserve"> </w:t>
      </w:r>
      <w:r w:rsidR="00736F63">
        <w:t xml:space="preserve">aff’d, 549 F. </w:t>
      </w:r>
      <w:proofErr w:type="spellStart"/>
      <w:r w:rsidR="00736F63">
        <w:t>App’x</w:t>
      </w:r>
      <w:proofErr w:type="spellEnd"/>
      <w:r w:rsidR="00736F63">
        <w:t xml:space="preserve"> 211 (4th Cir. 2014);</w:t>
      </w:r>
      <w:r w:rsidR="00736F63" w:rsidRPr="00736F63">
        <w:t xml:space="preserve"> </w:t>
      </w:r>
      <w:r w:rsidR="00736F63">
        <w:t xml:space="preserve">CGI Fed. Inc. v. </w:t>
      </w:r>
      <w:proofErr w:type="spellStart"/>
      <w:r w:rsidR="00736F63">
        <w:t>FCi</w:t>
      </w:r>
      <w:proofErr w:type="spellEnd"/>
      <w:r w:rsidR="00736F63">
        <w:t xml:space="preserve"> Fed., Inc., 814 S.E.2d 183, 188 (2018).</w:t>
      </w:r>
    </w:p>
  </w:footnote>
  <w:footnote w:id="22">
    <w:p w14:paraId="1C7C0DF5" w14:textId="7E968A50" w:rsidR="002F2985" w:rsidRDefault="002F29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36F63">
        <w:rPr>
          <w:i/>
        </w:rPr>
        <w:t xml:space="preserve">Id. </w:t>
      </w:r>
    </w:p>
  </w:footnote>
  <w:footnote w:id="23">
    <w:p w14:paraId="4C03159A" w14:textId="18DD40BA" w:rsidR="003D1E11" w:rsidRPr="003D1E11" w:rsidRDefault="003D1E11" w:rsidP="00BC0E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C0E71">
        <w:rPr>
          <w:i/>
        </w:rPr>
        <w:t xml:space="preserve">See </w:t>
      </w:r>
      <w:r w:rsidR="00BC0E71">
        <w:t xml:space="preserve">Advance Telecom Process LLC v. </w:t>
      </w:r>
      <w:proofErr w:type="spellStart"/>
      <w:r w:rsidR="00BC0E71">
        <w:t>DSFederal</w:t>
      </w:r>
      <w:proofErr w:type="spellEnd"/>
      <w:r w:rsidR="00BC0E71">
        <w:t>, Inc., 119 A.3d 175, 185 (Md. Ct. Spec. App. 2015).</w:t>
      </w:r>
    </w:p>
  </w:footnote>
  <w:footnote w:id="24">
    <w:p w14:paraId="03301D95" w14:textId="23D9E9AF" w:rsidR="002F2985" w:rsidRPr="00A94A3B" w:rsidRDefault="002F29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94A3B">
        <w:rPr>
          <w:i/>
        </w:rPr>
        <w:t>Id; see also</w:t>
      </w:r>
      <w:r w:rsidR="00A94A3B">
        <w:t xml:space="preserve"> </w:t>
      </w:r>
      <w:proofErr w:type="spellStart"/>
      <w:r w:rsidR="00A94A3B" w:rsidRPr="00A94A3B">
        <w:t>Sentrillion</w:t>
      </w:r>
      <w:proofErr w:type="spellEnd"/>
      <w:r w:rsidR="00A94A3B" w:rsidRPr="00A94A3B">
        <w:t xml:space="preserve"> Corp. v. United States, 114 Fed. Cl. 557, 565, 566-67 (2014).</w:t>
      </w:r>
    </w:p>
  </w:footnote>
  <w:footnote w:id="25">
    <w:p w14:paraId="7D57A7C8" w14:textId="1545952E" w:rsidR="00D743AF" w:rsidRDefault="00D743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D67D6">
        <w:rPr>
          <w:i/>
        </w:rPr>
        <w:t xml:space="preserve">See </w:t>
      </w:r>
      <w:r w:rsidR="00FD67D6">
        <w:t xml:space="preserve">Nash &amp; </w:t>
      </w:r>
      <w:proofErr w:type="spellStart"/>
      <w:r w:rsidR="00FD67D6">
        <w:t>Kuyath</w:t>
      </w:r>
      <w:proofErr w:type="spellEnd"/>
      <w:r w:rsidR="00FD67D6">
        <w:t xml:space="preserve">, </w:t>
      </w:r>
      <w:r w:rsidR="00FD67D6">
        <w:rPr>
          <w:i/>
        </w:rPr>
        <w:t>supra</w:t>
      </w:r>
      <w:r w:rsidR="00FD67D6">
        <w:t xml:space="preserve"> note 4.</w:t>
      </w:r>
    </w:p>
  </w:footnote>
  <w:footnote w:id="26">
    <w:p w14:paraId="16ED5244" w14:textId="7839DFAE" w:rsidR="002F2985" w:rsidRPr="00627FBC" w:rsidRDefault="002F29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5D0B">
        <w:rPr>
          <w:i/>
        </w:rPr>
        <w:t xml:space="preserve">See, e.g., </w:t>
      </w:r>
      <w:r w:rsidR="00345D0B">
        <w:t xml:space="preserve">CGI Fed. Inc., </w:t>
      </w:r>
      <w:r w:rsidR="00627FBC">
        <w:t xml:space="preserve">814 S.E.2d at 185; </w:t>
      </w:r>
      <w:r w:rsidR="00627FBC">
        <w:rPr>
          <w:i/>
        </w:rPr>
        <w:t>see also</w:t>
      </w:r>
      <w:r w:rsidR="00627FBC">
        <w:t xml:space="preserve"> </w:t>
      </w:r>
      <w:r w:rsidR="00627FBC" w:rsidRPr="00627FBC">
        <w:t>ATACS Corp. v. Trans World Communications, Inc., 155 F.3d 659</w:t>
      </w:r>
      <w:r w:rsidR="00627FBC">
        <w:t>, 668</w:t>
      </w:r>
      <w:r w:rsidR="00627FBC" w:rsidRPr="00627FBC">
        <w:t xml:space="preserve"> (3d Cir. 1998).</w:t>
      </w:r>
    </w:p>
  </w:footnote>
  <w:footnote w:id="27">
    <w:p w14:paraId="3332378C" w14:textId="2D1927ED" w:rsidR="000529E6" w:rsidRPr="009E1758" w:rsidRDefault="000529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E1758">
        <w:rPr>
          <w:i/>
        </w:rPr>
        <w:t>Id</w:t>
      </w:r>
      <w:r w:rsidR="009E1758">
        <w:t xml:space="preserve">; </w:t>
      </w:r>
      <w:r w:rsidR="009E1758">
        <w:rPr>
          <w:i/>
        </w:rPr>
        <w:t>see</w:t>
      </w:r>
      <w:r w:rsidR="009E1758">
        <w:t xml:space="preserve"> Murtha, </w:t>
      </w:r>
      <w:r w:rsidR="009E1758">
        <w:rPr>
          <w:i/>
        </w:rPr>
        <w:t>supra</w:t>
      </w:r>
      <w:r w:rsidR="00FA4EA7">
        <w:t xml:space="preserve"> note 7</w:t>
      </w:r>
      <w:r w:rsidR="009E1758">
        <w:t>, at 22.</w:t>
      </w:r>
    </w:p>
  </w:footnote>
  <w:footnote w:id="28">
    <w:p w14:paraId="5C8CF5CB" w14:textId="6C00CFFF" w:rsidR="00024001" w:rsidRDefault="0002400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Nash &amp; </w:t>
      </w:r>
      <w:proofErr w:type="spellStart"/>
      <w:r>
        <w:t>Kuyath</w:t>
      </w:r>
      <w:proofErr w:type="spellEnd"/>
      <w:r>
        <w:t xml:space="preserve">, </w:t>
      </w:r>
      <w:r>
        <w:rPr>
          <w:i/>
        </w:rPr>
        <w:t>supra</w:t>
      </w:r>
      <w:r>
        <w:t xml:space="preserve"> note 4.</w:t>
      </w:r>
    </w:p>
  </w:footnote>
  <w:footnote w:id="29">
    <w:p w14:paraId="0561A2F1" w14:textId="68024F8B" w:rsidR="007B6C17" w:rsidRDefault="007B6C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42696" w:rsidRPr="00342696">
        <w:rPr>
          <w:smallCaps/>
        </w:rPr>
        <w:t xml:space="preserve">Nick J. </w:t>
      </w:r>
      <w:proofErr w:type="spellStart"/>
      <w:r w:rsidR="00342696" w:rsidRPr="00342696">
        <w:rPr>
          <w:smallCaps/>
        </w:rPr>
        <w:t>Vizy</w:t>
      </w:r>
      <w:proofErr w:type="spellEnd"/>
      <w:r w:rsidR="00342696">
        <w:t xml:space="preserve">, </w:t>
      </w:r>
      <w:r w:rsidR="00342696" w:rsidRPr="00342696">
        <w:rPr>
          <w:smallCaps/>
        </w:rPr>
        <w:t xml:space="preserve">Sp. Study for Corp. </w:t>
      </w:r>
      <w:proofErr w:type="spellStart"/>
      <w:r w:rsidR="00342696" w:rsidRPr="00342696">
        <w:rPr>
          <w:smallCaps/>
        </w:rPr>
        <w:t>Couns</w:t>
      </w:r>
      <w:proofErr w:type="spellEnd"/>
      <w:r w:rsidR="00342696" w:rsidRPr="00342696">
        <w:rPr>
          <w:smallCaps/>
        </w:rPr>
        <w:t>. on Using Letters of Intent in Bus</w:t>
      </w:r>
      <w:r w:rsidR="00342696">
        <w:rPr>
          <w:smallCaps/>
        </w:rPr>
        <w:t>.</w:t>
      </w:r>
      <w:r w:rsidR="00342696" w:rsidRPr="00342696">
        <w:rPr>
          <w:smallCaps/>
        </w:rPr>
        <w:t xml:space="preserve"> Trans</w:t>
      </w:r>
      <w:r w:rsidR="00342696">
        <w:rPr>
          <w:smallCaps/>
        </w:rPr>
        <w:t>.</w:t>
      </w:r>
      <w:r w:rsidR="00342696" w:rsidRPr="00342696">
        <w:rPr>
          <w:smallCaps/>
        </w:rPr>
        <w:t xml:space="preserve"> </w:t>
      </w:r>
      <w:r w:rsidR="00342696" w:rsidRPr="00342696">
        <w:t xml:space="preserve">§ </w:t>
      </w:r>
      <w:proofErr w:type="gramStart"/>
      <w:r w:rsidR="00342696" w:rsidRPr="00342696">
        <w:t>1:6.Effects</w:t>
      </w:r>
      <w:proofErr w:type="gramEnd"/>
      <w:r w:rsidR="00342696" w:rsidRPr="00342696">
        <w:t xml:space="preserve"> of a </w:t>
      </w:r>
      <w:r w:rsidR="00342696">
        <w:t>letter of intent—Legal principles (July 2019).</w:t>
      </w:r>
    </w:p>
  </w:footnote>
  <w:footnote w:id="30">
    <w:p w14:paraId="66D27D2D" w14:textId="4B76D6CE" w:rsidR="00342696" w:rsidRPr="00342696" w:rsidRDefault="0034269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31">
    <w:p w14:paraId="1486FC1B" w14:textId="6A0D8D58" w:rsidR="007B6C17" w:rsidRDefault="007B6C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F74D5" w:rsidRPr="003B0540">
        <w:rPr>
          <w:smallCaps/>
        </w:rPr>
        <w:t xml:space="preserve">Gerald V. </w:t>
      </w:r>
      <w:proofErr w:type="spellStart"/>
      <w:r w:rsidR="008F74D5" w:rsidRPr="003B0540">
        <w:rPr>
          <w:smallCaps/>
        </w:rPr>
        <w:t>Niesar</w:t>
      </w:r>
      <w:proofErr w:type="spellEnd"/>
      <w:r w:rsidR="008F74D5" w:rsidRPr="003B0540">
        <w:rPr>
          <w:smallCaps/>
        </w:rPr>
        <w:t xml:space="preserve">, </w:t>
      </w:r>
      <w:r w:rsidR="003B0540" w:rsidRPr="003B0540">
        <w:rPr>
          <w:smallCaps/>
        </w:rPr>
        <w:t>Cal. Transactions Forms Bus. Entities</w:t>
      </w:r>
      <w:r w:rsidR="003B0540">
        <w:t xml:space="preserve"> §2:7</w:t>
      </w:r>
      <w:r w:rsidR="003B0540" w:rsidRPr="003B0540">
        <w:t xml:space="preserve"> Memoranda of understanding and letters of intent</w:t>
      </w:r>
      <w:r w:rsidR="003B0540">
        <w:t xml:space="preserve"> (March 2020).</w:t>
      </w:r>
    </w:p>
  </w:footnote>
  <w:footnote w:id="32">
    <w:p w14:paraId="6C2BD77A" w14:textId="34997DB9" w:rsidR="00142BF1" w:rsidRPr="00142BF1" w:rsidRDefault="00142BF1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33">
    <w:p w14:paraId="5F20D6C8" w14:textId="6FFAF9FA" w:rsidR="00521FC7" w:rsidRDefault="00521FC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92599">
        <w:rPr>
          <w:i/>
        </w:rPr>
        <w:t>Id</w:t>
      </w:r>
      <w:r w:rsidR="009D121C">
        <w:t>.</w:t>
      </w:r>
    </w:p>
  </w:footnote>
  <w:footnote w:id="34">
    <w:p w14:paraId="32FB45F0" w14:textId="236B07FB" w:rsidR="000E4F7A" w:rsidRPr="00CE0AA2" w:rsidRDefault="000E4F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E0AA2" w:rsidRPr="00CE0AA2">
        <w:rPr>
          <w:i/>
        </w:rPr>
        <w:t xml:space="preserve">See </w:t>
      </w:r>
      <w:r w:rsidR="00CE0AA2">
        <w:t xml:space="preserve">Koehler, </w:t>
      </w:r>
      <w:r w:rsidR="00CE0AA2">
        <w:rPr>
          <w:i/>
        </w:rPr>
        <w:t>supra</w:t>
      </w:r>
      <w:r w:rsidR="00CE0AA2">
        <w:t xml:space="preserve"> note 1.</w:t>
      </w:r>
    </w:p>
  </w:footnote>
  <w:footnote w:id="35">
    <w:p w14:paraId="4FF7C386" w14:textId="1B1972D6" w:rsidR="000E4F7A" w:rsidRPr="00AE2DDB" w:rsidRDefault="000E4F7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E2DDB">
        <w:rPr>
          <w:i/>
        </w:rPr>
        <w:t xml:space="preserve">See </w:t>
      </w:r>
      <w:r w:rsidR="00AE2DDB">
        <w:t xml:space="preserve">Steptoe &amp; Johnson, </w:t>
      </w:r>
      <w:r w:rsidR="00AE2DDB" w:rsidRPr="00AE2DDB">
        <w:rPr>
          <w:i/>
        </w:rPr>
        <w:t>supra</w:t>
      </w:r>
      <w:r w:rsidR="00FA4EA7">
        <w:t xml:space="preserve"> note 14</w:t>
      </w:r>
      <w:r w:rsidR="00AE2DDB">
        <w:t xml:space="preserve">, at </w:t>
      </w:r>
      <w:r w:rsidR="0095049A">
        <w:t>42-43.</w:t>
      </w:r>
    </w:p>
  </w:footnote>
  <w:footnote w:id="36">
    <w:p w14:paraId="1C5CD9B2" w14:textId="3C60B2BD" w:rsidR="004F0EDB" w:rsidRPr="001F78EC" w:rsidRDefault="004F0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F78EC">
        <w:rPr>
          <w:i/>
        </w:rPr>
        <w:t xml:space="preserve">Id. </w:t>
      </w:r>
      <w:r w:rsidR="001F78EC">
        <w:t>at 45.</w:t>
      </w:r>
    </w:p>
  </w:footnote>
  <w:footnote w:id="37">
    <w:p w14:paraId="0836C27D" w14:textId="7CFE21B9" w:rsidR="004F0EDB" w:rsidRDefault="004F0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5049A">
        <w:rPr>
          <w:i/>
        </w:rPr>
        <w:t xml:space="preserve">Id. </w:t>
      </w:r>
      <w:r w:rsidR="008B3D17">
        <w:t>at 47</w:t>
      </w:r>
      <w:r w:rsidR="0095049A">
        <w:t>.</w:t>
      </w:r>
    </w:p>
  </w:footnote>
  <w:footnote w:id="38">
    <w:p w14:paraId="4E1626C5" w14:textId="18DBD452" w:rsidR="00315CCE" w:rsidRPr="006E33AB" w:rsidRDefault="00315CCE" w:rsidP="00315CCE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 w:rsidR="00FA4EA7">
        <w:rPr>
          <w:i/>
        </w:rPr>
        <w:t>Id.</w:t>
      </w:r>
      <w:r w:rsidR="00FA4EA7">
        <w:t xml:space="preserve"> at</w:t>
      </w:r>
      <w:r>
        <w:rPr>
          <w:i/>
        </w:rPr>
        <w:t xml:space="preserve"> </w:t>
      </w:r>
      <w:r>
        <w:t>45</w:t>
      </w:r>
      <w:r w:rsidR="00FA4EA7">
        <w:t>.</w:t>
      </w:r>
    </w:p>
  </w:footnote>
  <w:footnote w:id="39">
    <w:p w14:paraId="4B87713A" w14:textId="4FECD575" w:rsidR="006C0ECF" w:rsidRDefault="006C0ECF">
      <w:pPr>
        <w:pStyle w:val="FootnoteText"/>
      </w:pPr>
      <w:r>
        <w:rPr>
          <w:rStyle w:val="FootnoteReference"/>
        </w:rPr>
        <w:footnoteRef/>
      </w:r>
      <w:r>
        <w:t xml:space="preserve"> Murtha, </w:t>
      </w:r>
      <w:r>
        <w:rPr>
          <w:i/>
        </w:rPr>
        <w:t>supra</w:t>
      </w:r>
      <w:r w:rsidR="00FA4EA7">
        <w:t xml:space="preserve"> note 7</w:t>
      </w:r>
      <w:r w:rsidR="00D95123">
        <w:t xml:space="preserve">, at 27; Nash &amp; </w:t>
      </w:r>
      <w:proofErr w:type="spellStart"/>
      <w:r w:rsidR="00D95123">
        <w:t>Kuyath</w:t>
      </w:r>
      <w:proofErr w:type="spellEnd"/>
      <w:r w:rsidR="00D95123">
        <w:t xml:space="preserve">, </w:t>
      </w:r>
      <w:r w:rsidR="00D95123">
        <w:rPr>
          <w:i/>
        </w:rPr>
        <w:t>supra</w:t>
      </w:r>
      <w:r w:rsidR="00D95123">
        <w:t xml:space="preserve"> note 4.</w:t>
      </w:r>
    </w:p>
  </w:footnote>
  <w:footnote w:id="40">
    <w:p w14:paraId="4D135CE4" w14:textId="6C07C5F2" w:rsidR="006C0ECF" w:rsidRPr="006C0ECF" w:rsidRDefault="006C0ECF">
      <w:pPr>
        <w:pStyle w:val="FootnoteText"/>
        <w:rPr>
          <w:i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Id.</w:t>
      </w:r>
    </w:p>
  </w:footnote>
  <w:footnote w:id="41">
    <w:p w14:paraId="0255DE7A" w14:textId="176F3B6C" w:rsidR="0032469A" w:rsidRDefault="003246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758BA">
        <w:rPr>
          <w:i/>
        </w:rPr>
        <w:t>See</w:t>
      </w:r>
      <w:r w:rsidR="00C758BA">
        <w:t xml:space="preserve"> Steptoe &amp; Johnson, </w:t>
      </w:r>
      <w:r w:rsidR="00C758BA" w:rsidRPr="00AE2DDB">
        <w:rPr>
          <w:i/>
        </w:rPr>
        <w:t>supra</w:t>
      </w:r>
      <w:r w:rsidR="00FA4EA7">
        <w:t xml:space="preserve"> note 14</w:t>
      </w:r>
      <w:r w:rsidR="00C758BA">
        <w:t>, at 44-45 (2018).</w:t>
      </w:r>
    </w:p>
  </w:footnote>
  <w:footnote w:id="42">
    <w:p w14:paraId="7CABDFB2" w14:textId="727F7547" w:rsidR="00D9293A" w:rsidRDefault="00D9293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See </w:t>
      </w:r>
      <w:r>
        <w:t xml:space="preserve">Nash &amp; </w:t>
      </w:r>
      <w:proofErr w:type="spellStart"/>
      <w:r>
        <w:t>Kuyath</w:t>
      </w:r>
      <w:proofErr w:type="spellEnd"/>
      <w:r>
        <w:t xml:space="preserve">, </w:t>
      </w:r>
      <w:r>
        <w:rPr>
          <w:i/>
        </w:rPr>
        <w:t>supra</w:t>
      </w:r>
      <w:r>
        <w:t xml:space="preserve"> note 4.</w:t>
      </w:r>
    </w:p>
  </w:footnote>
  <w:footnote w:id="43">
    <w:p w14:paraId="57C3D7E2" w14:textId="5666B53F" w:rsidR="0063537C" w:rsidRDefault="006353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40040">
        <w:t xml:space="preserve">Advance Telecom Process LLC, 119 A.3d at 185; </w:t>
      </w:r>
      <w:r w:rsidR="00A40040">
        <w:rPr>
          <w:i/>
        </w:rPr>
        <w:t>see</w:t>
      </w:r>
      <w:r w:rsidR="00A40040">
        <w:t xml:space="preserve"> </w:t>
      </w:r>
      <w:r>
        <w:t xml:space="preserve">Nash &amp; </w:t>
      </w:r>
      <w:proofErr w:type="spellStart"/>
      <w:r>
        <w:t>Kuyath</w:t>
      </w:r>
      <w:proofErr w:type="spellEnd"/>
      <w:r>
        <w:t xml:space="preserve">, </w:t>
      </w:r>
      <w:r>
        <w:rPr>
          <w:i/>
        </w:rPr>
        <w:t>supra</w:t>
      </w:r>
      <w:r>
        <w:t xml:space="preserve"> note 4.</w:t>
      </w:r>
    </w:p>
  </w:footnote>
  <w:footnote w:id="44">
    <w:p w14:paraId="53EBB861" w14:textId="5498AB65" w:rsidR="008E1C0E" w:rsidRPr="00DF5A15" w:rsidRDefault="008E1C0E" w:rsidP="008E1C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3537C">
        <w:t xml:space="preserve">Nash &amp; </w:t>
      </w:r>
      <w:proofErr w:type="spellStart"/>
      <w:r w:rsidR="0063537C">
        <w:t>Kuyath</w:t>
      </w:r>
      <w:proofErr w:type="spellEnd"/>
      <w:r w:rsidR="0063537C">
        <w:t xml:space="preserve">, </w:t>
      </w:r>
      <w:r w:rsidR="0063537C">
        <w:rPr>
          <w:i/>
        </w:rPr>
        <w:t>supra</w:t>
      </w:r>
      <w:r w:rsidR="0063537C">
        <w:t xml:space="preserve"> note 4; </w:t>
      </w:r>
      <w:r w:rsidR="0063537C">
        <w:rPr>
          <w:i/>
        </w:rPr>
        <w:t xml:space="preserve">see also </w:t>
      </w:r>
      <w:r>
        <w:t xml:space="preserve">Murtha, </w:t>
      </w:r>
      <w:r>
        <w:rPr>
          <w:i/>
        </w:rPr>
        <w:t>supra</w:t>
      </w:r>
      <w:r w:rsidR="00FA4EA7">
        <w:t xml:space="preserve"> note 7</w:t>
      </w:r>
      <w:r w:rsidR="0063537C">
        <w:t>, at 27.</w:t>
      </w:r>
    </w:p>
  </w:footnote>
  <w:footnote w:id="45">
    <w:p w14:paraId="73E0DBAF" w14:textId="5A7B42EC" w:rsidR="001048D2" w:rsidRPr="007F68D6" w:rsidRDefault="001048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7F68D6">
        <w:t xml:space="preserve">Koehler, </w:t>
      </w:r>
      <w:r w:rsidR="007F68D6">
        <w:rPr>
          <w:i/>
        </w:rPr>
        <w:t xml:space="preserve">supra </w:t>
      </w:r>
      <w:r w:rsidR="007F68D6">
        <w:t>note 1, at 3.</w:t>
      </w:r>
    </w:p>
  </w:footnote>
  <w:footnote w:id="46">
    <w:p w14:paraId="73F4815A" w14:textId="06EB0A95" w:rsidR="0059722C" w:rsidRDefault="005972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6301">
        <w:t xml:space="preserve">Steptoe &amp; Johnson, </w:t>
      </w:r>
      <w:r w:rsidR="00DE6301" w:rsidRPr="00AE2DDB">
        <w:rPr>
          <w:i/>
        </w:rPr>
        <w:t>supra</w:t>
      </w:r>
      <w:r w:rsidR="00FA4EA7">
        <w:t xml:space="preserve"> note 14</w:t>
      </w:r>
      <w:r w:rsidR="00DE6301">
        <w:t>, at 45.</w:t>
      </w:r>
    </w:p>
  </w:footnote>
  <w:footnote w:id="47">
    <w:p w14:paraId="71754846" w14:textId="63488F54" w:rsidR="00E25486" w:rsidRPr="00DE6301" w:rsidRDefault="00E254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6301">
        <w:rPr>
          <w:i/>
        </w:rPr>
        <w:t>Id.</w:t>
      </w:r>
    </w:p>
  </w:footnote>
  <w:footnote w:id="48">
    <w:p w14:paraId="6D13AF42" w14:textId="60FCB2B9" w:rsidR="00555A91" w:rsidRDefault="00555A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5486">
        <w:rPr>
          <w:i/>
        </w:rPr>
        <w:t xml:space="preserve">Id. </w:t>
      </w:r>
      <w:r>
        <w:t>at 60.</w:t>
      </w:r>
    </w:p>
  </w:footnote>
  <w:footnote w:id="49">
    <w:p w14:paraId="7C3E041C" w14:textId="6891E7E3" w:rsidR="00A40FE0" w:rsidRDefault="00A40FE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25486">
        <w:rPr>
          <w:i/>
        </w:rPr>
        <w:t>Id.</w:t>
      </w:r>
      <w:r>
        <w:t xml:space="preserve"> at 47.</w:t>
      </w:r>
    </w:p>
  </w:footnote>
  <w:footnote w:id="50">
    <w:p w14:paraId="0068747F" w14:textId="604029DA" w:rsidR="00D743AF" w:rsidRPr="00DE6301" w:rsidRDefault="00D743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DE6301">
        <w:rPr>
          <w:i/>
        </w:rPr>
        <w:t>Id.</w:t>
      </w:r>
    </w:p>
  </w:footnote>
  <w:footnote w:id="51">
    <w:p w14:paraId="42D1B015" w14:textId="62E1F953" w:rsidR="000732C3" w:rsidRPr="000732C3" w:rsidRDefault="000732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Id. </w:t>
      </w:r>
      <w:r>
        <w:t>at 51.</w:t>
      </w:r>
    </w:p>
  </w:footnote>
  <w:footnote w:id="52">
    <w:p w14:paraId="4343C35C" w14:textId="6768287E" w:rsidR="007559E4" w:rsidRPr="007559E4" w:rsidRDefault="007559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 xml:space="preserve">Id. </w:t>
      </w:r>
      <w:r>
        <w:t>at 50.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B3941" w14:textId="77777777" w:rsidR="00CB6C39" w:rsidRDefault="00CB6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25257" w14:textId="5DCC9493" w:rsidR="00CB6C39" w:rsidRDefault="00CB6C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47495" w14:textId="77777777" w:rsidR="00CB6C39" w:rsidRDefault="00CB6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55584"/>
    <w:multiLevelType w:val="hybridMultilevel"/>
    <w:tmpl w:val="9ADA3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EF4"/>
    <w:rsid w:val="00014E2C"/>
    <w:rsid w:val="00016A89"/>
    <w:rsid w:val="00021DDB"/>
    <w:rsid w:val="00024001"/>
    <w:rsid w:val="000250B0"/>
    <w:rsid w:val="00030854"/>
    <w:rsid w:val="00034206"/>
    <w:rsid w:val="000356BE"/>
    <w:rsid w:val="0004283D"/>
    <w:rsid w:val="000529E6"/>
    <w:rsid w:val="00072854"/>
    <w:rsid w:val="000732C3"/>
    <w:rsid w:val="00094579"/>
    <w:rsid w:val="000B6319"/>
    <w:rsid w:val="000D704D"/>
    <w:rsid w:val="000E4F7A"/>
    <w:rsid w:val="001048D2"/>
    <w:rsid w:val="00116A87"/>
    <w:rsid w:val="00134391"/>
    <w:rsid w:val="00137118"/>
    <w:rsid w:val="00140B1A"/>
    <w:rsid w:val="00142BF1"/>
    <w:rsid w:val="00156D30"/>
    <w:rsid w:val="00160CB9"/>
    <w:rsid w:val="001770E5"/>
    <w:rsid w:val="00191B8B"/>
    <w:rsid w:val="001C57B3"/>
    <w:rsid w:val="001C76E5"/>
    <w:rsid w:val="001D570B"/>
    <w:rsid w:val="001F78EC"/>
    <w:rsid w:val="00263E66"/>
    <w:rsid w:val="002A67E6"/>
    <w:rsid w:val="002B0E12"/>
    <w:rsid w:val="002B4F03"/>
    <w:rsid w:val="002B5535"/>
    <w:rsid w:val="002C7EC7"/>
    <w:rsid w:val="002D377F"/>
    <w:rsid w:val="002D5659"/>
    <w:rsid w:val="002D5BAB"/>
    <w:rsid w:val="002E1DF2"/>
    <w:rsid w:val="002E2E6B"/>
    <w:rsid w:val="002E4AA8"/>
    <w:rsid w:val="002F2985"/>
    <w:rsid w:val="00303960"/>
    <w:rsid w:val="00305A3A"/>
    <w:rsid w:val="00315CCE"/>
    <w:rsid w:val="0032469A"/>
    <w:rsid w:val="00324F41"/>
    <w:rsid w:val="00341054"/>
    <w:rsid w:val="00342696"/>
    <w:rsid w:val="00345D0B"/>
    <w:rsid w:val="00354521"/>
    <w:rsid w:val="00362EAF"/>
    <w:rsid w:val="003A317A"/>
    <w:rsid w:val="003A5729"/>
    <w:rsid w:val="003B0540"/>
    <w:rsid w:val="003C24A6"/>
    <w:rsid w:val="003D1E11"/>
    <w:rsid w:val="003D43AA"/>
    <w:rsid w:val="004030ED"/>
    <w:rsid w:val="00410849"/>
    <w:rsid w:val="004316AB"/>
    <w:rsid w:val="0044591A"/>
    <w:rsid w:val="0045110A"/>
    <w:rsid w:val="00460B5C"/>
    <w:rsid w:val="00464832"/>
    <w:rsid w:val="00465A00"/>
    <w:rsid w:val="0049683E"/>
    <w:rsid w:val="004A3A05"/>
    <w:rsid w:val="004B12C9"/>
    <w:rsid w:val="004D0106"/>
    <w:rsid w:val="004F0EDB"/>
    <w:rsid w:val="004F4637"/>
    <w:rsid w:val="00517D48"/>
    <w:rsid w:val="00521FC7"/>
    <w:rsid w:val="00541BFC"/>
    <w:rsid w:val="005468FA"/>
    <w:rsid w:val="00555A91"/>
    <w:rsid w:val="00564B51"/>
    <w:rsid w:val="00570654"/>
    <w:rsid w:val="00587990"/>
    <w:rsid w:val="0059722C"/>
    <w:rsid w:val="00597DCF"/>
    <w:rsid w:val="005A074A"/>
    <w:rsid w:val="005E212E"/>
    <w:rsid w:val="005E7B47"/>
    <w:rsid w:val="006111EF"/>
    <w:rsid w:val="006265CC"/>
    <w:rsid w:val="00626867"/>
    <w:rsid w:val="00627FBC"/>
    <w:rsid w:val="00634ED5"/>
    <w:rsid w:val="0063537C"/>
    <w:rsid w:val="00646D3E"/>
    <w:rsid w:val="006507D3"/>
    <w:rsid w:val="00664C0A"/>
    <w:rsid w:val="0067090A"/>
    <w:rsid w:val="00670C0D"/>
    <w:rsid w:val="00672C40"/>
    <w:rsid w:val="00680B02"/>
    <w:rsid w:val="00683FDC"/>
    <w:rsid w:val="006C0ECF"/>
    <w:rsid w:val="006C3A10"/>
    <w:rsid w:val="006D2DDA"/>
    <w:rsid w:val="006E2092"/>
    <w:rsid w:val="006E33AB"/>
    <w:rsid w:val="006F03FD"/>
    <w:rsid w:val="00707DED"/>
    <w:rsid w:val="0072146A"/>
    <w:rsid w:val="00726531"/>
    <w:rsid w:val="00730989"/>
    <w:rsid w:val="00731E20"/>
    <w:rsid w:val="00736F63"/>
    <w:rsid w:val="00742E77"/>
    <w:rsid w:val="0074718D"/>
    <w:rsid w:val="007477EF"/>
    <w:rsid w:val="007559E4"/>
    <w:rsid w:val="007673FB"/>
    <w:rsid w:val="00794046"/>
    <w:rsid w:val="007A73EC"/>
    <w:rsid w:val="007B6C17"/>
    <w:rsid w:val="007C185F"/>
    <w:rsid w:val="007D14A7"/>
    <w:rsid w:val="007E307A"/>
    <w:rsid w:val="007F68D6"/>
    <w:rsid w:val="007F7797"/>
    <w:rsid w:val="00801B01"/>
    <w:rsid w:val="00805C31"/>
    <w:rsid w:val="0081161D"/>
    <w:rsid w:val="00835008"/>
    <w:rsid w:val="0086357C"/>
    <w:rsid w:val="00881195"/>
    <w:rsid w:val="008A124A"/>
    <w:rsid w:val="008B3D17"/>
    <w:rsid w:val="008C7175"/>
    <w:rsid w:val="008C79FF"/>
    <w:rsid w:val="008D4A32"/>
    <w:rsid w:val="008E1C0E"/>
    <w:rsid w:val="008E4F81"/>
    <w:rsid w:val="008E5ECD"/>
    <w:rsid w:val="008F74D5"/>
    <w:rsid w:val="00902C3E"/>
    <w:rsid w:val="00905BFB"/>
    <w:rsid w:val="009230BD"/>
    <w:rsid w:val="009304CB"/>
    <w:rsid w:val="009468D5"/>
    <w:rsid w:val="0095049A"/>
    <w:rsid w:val="00956CD9"/>
    <w:rsid w:val="00970C80"/>
    <w:rsid w:val="00986FE1"/>
    <w:rsid w:val="009872DA"/>
    <w:rsid w:val="009905B6"/>
    <w:rsid w:val="00995530"/>
    <w:rsid w:val="009B5716"/>
    <w:rsid w:val="009D121C"/>
    <w:rsid w:val="009D1AA5"/>
    <w:rsid w:val="009E1758"/>
    <w:rsid w:val="009E458F"/>
    <w:rsid w:val="009F609F"/>
    <w:rsid w:val="00A05541"/>
    <w:rsid w:val="00A1280B"/>
    <w:rsid w:val="00A23FF7"/>
    <w:rsid w:val="00A3089D"/>
    <w:rsid w:val="00A40040"/>
    <w:rsid w:val="00A40FE0"/>
    <w:rsid w:val="00A5093F"/>
    <w:rsid w:val="00A70CEA"/>
    <w:rsid w:val="00A85400"/>
    <w:rsid w:val="00A90DD4"/>
    <w:rsid w:val="00A93975"/>
    <w:rsid w:val="00A94A3B"/>
    <w:rsid w:val="00AA242C"/>
    <w:rsid w:val="00AA3BEF"/>
    <w:rsid w:val="00AA5B3D"/>
    <w:rsid w:val="00AB6312"/>
    <w:rsid w:val="00AD163A"/>
    <w:rsid w:val="00AD67DE"/>
    <w:rsid w:val="00AE2DDB"/>
    <w:rsid w:val="00B067B9"/>
    <w:rsid w:val="00B230E9"/>
    <w:rsid w:val="00B36961"/>
    <w:rsid w:val="00B54314"/>
    <w:rsid w:val="00B64A0B"/>
    <w:rsid w:val="00B75B7D"/>
    <w:rsid w:val="00B92599"/>
    <w:rsid w:val="00BA0EF4"/>
    <w:rsid w:val="00BA1041"/>
    <w:rsid w:val="00BA7609"/>
    <w:rsid w:val="00BC0E71"/>
    <w:rsid w:val="00BC4A69"/>
    <w:rsid w:val="00BD1247"/>
    <w:rsid w:val="00BE4250"/>
    <w:rsid w:val="00C03448"/>
    <w:rsid w:val="00C27609"/>
    <w:rsid w:val="00C303E5"/>
    <w:rsid w:val="00C65891"/>
    <w:rsid w:val="00C758BA"/>
    <w:rsid w:val="00CA2749"/>
    <w:rsid w:val="00CA4EEB"/>
    <w:rsid w:val="00CB0D58"/>
    <w:rsid w:val="00CB6C39"/>
    <w:rsid w:val="00CC7685"/>
    <w:rsid w:val="00CD004C"/>
    <w:rsid w:val="00CD329D"/>
    <w:rsid w:val="00CD329E"/>
    <w:rsid w:val="00CE0AA2"/>
    <w:rsid w:val="00CF5507"/>
    <w:rsid w:val="00D360EC"/>
    <w:rsid w:val="00D40CC1"/>
    <w:rsid w:val="00D47BF5"/>
    <w:rsid w:val="00D743AF"/>
    <w:rsid w:val="00D803C9"/>
    <w:rsid w:val="00D81E2E"/>
    <w:rsid w:val="00D91CDB"/>
    <w:rsid w:val="00D92663"/>
    <w:rsid w:val="00D9293A"/>
    <w:rsid w:val="00D95123"/>
    <w:rsid w:val="00DB3633"/>
    <w:rsid w:val="00DB70C1"/>
    <w:rsid w:val="00DD264E"/>
    <w:rsid w:val="00DD4FD9"/>
    <w:rsid w:val="00DE411F"/>
    <w:rsid w:val="00DE6301"/>
    <w:rsid w:val="00DF4177"/>
    <w:rsid w:val="00DF5A15"/>
    <w:rsid w:val="00E05B86"/>
    <w:rsid w:val="00E061D1"/>
    <w:rsid w:val="00E2275A"/>
    <w:rsid w:val="00E236EA"/>
    <w:rsid w:val="00E25486"/>
    <w:rsid w:val="00E33599"/>
    <w:rsid w:val="00E640DA"/>
    <w:rsid w:val="00E64355"/>
    <w:rsid w:val="00EB6F74"/>
    <w:rsid w:val="00ED4635"/>
    <w:rsid w:val="00EF7460"/>
    <w:rsid w:val="00F00FFB"/>
    <w:rsid w:val="00F17746"/>
    <w:rsid w:val="00F244A0"/>
    <w:rsid w:val="00F35056"/>
    <w:rsid w:val="00F36FB0"/>
    <w:rsid w:val="00F609EC"/>
    <w:rsid w:val="00F6369E"/>
    <w:rsid w:val="00F66F34"/>
    <w:rsid w:val="00F736EA"/>
    <w:rsid w:val="00F86416"/>
    <w:rsid w:val="00F9782E"/>
    <w:rsid w:val="00FA4EA7"/>
    <w:rsid w:val="00FB6A90"/>
    <w:rsid w:val="00FC63C0"/>
    <w:rsid w:val="00FD2B9A"/>
    <w:rsid w:val="00FD67D6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9349F1"/>
  <w15:chartTrackingRefBased/>
  <w15:docId w15:val="{20FA881E-2692-451A-8892-99D4E8D2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D5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B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B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B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BA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457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57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4579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4E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57C"/>
  </w:style>
  <w:style w:type="paragraph" w:styleId="Footer">
    <w:name w:val="footer"/>
    <w:basedOn w:val="Normal"/>
    <w:link w:val="FooterChar"/>
    <w:uiPriority w:val="99"/>
    <w:unhideWhenUsed/>
    <w:rsid w:val="00863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5">
          <w:marLeft w:val="540"/>
          <w:marRight w:val="5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68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98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50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329529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74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35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06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57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93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81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84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9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66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86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341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9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076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35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87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96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31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ADADA"/>
                                                <w:left w:val="single" w:sz="6" w:space="0" w:color="DADADA"/>
                                                <w:bottom w:val="single" w:sz="6" w:space="0" w:color="DADADA"/>
                                                <w:right w:val="single" w:sz="6" w:space="0" w:color="DADADA"/>
                                              </w:divBdr>
                                              <w:divsChild>
                                                <w:div w:id="111398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699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958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11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3574">
                                              <w:blockQuote w:val="1"/>
                                              <w:marLeft w:val="300"/>
                                              <w:marRight w:val="30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06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1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768373">
                                                              <w:blockQuote w:val="1"/>
                                                              <w:marLeft w:val="300"/>
                                                              <w:marRight w:val="300"/>
                                                              <w:marTop w:val="240"/>
                                                              <w:marBottom w:val="24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823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380418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19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DADAD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775162">
                                              <w:marLeft w:val="6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6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37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0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1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0839">
                                              <w:marLeft w:val="6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0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34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014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F0F0F0"/>
                                <w:left w:val="single" w:sz="6" w:space="0" w:color="F0F0F0"/>
                                <w:bottom w:val="single" w:sz="6" w:space="0" w:color="F0F0F0"/>
                                <w:right w:val="single" w:sz="6" w:space="0" w:color="F0F0F0"/>
                              </w:divBdr>
                              <w:divsChild>
                                <w:div w:id="59764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90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9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00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71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7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0" w:color="F0F0F0"/>
              </w:divBdr>
              <w:divsChild>
                <w:div w:id="15356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1407-D998-46C7-9978-963190AB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Nicholson</dc:creator>
  <cp:keywords/>
  <dc:description/>
  <cp:lastModifiedBy>Jonathan Rotter</cp:lastModifiedBy>
  <cp:revision>2</cp:revision>
  <dcterms:created xsi:type="dcterms:W3CDTF">2020-12-01T21:25:00Z</dcterms:created>
  <dcterms:modified xsi:type="dcterms:W3CDTF">2020-12-01T21:25:00Z</dcterms:modified>
</cp:coreProperties>
</file>